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6875818"/>
    <w:bookmarkStart w:id="1" w:name="_Hlk26974827"/>
    <w:p w14:paraId="605B2D63" w14:textId="77777777" w:rsidR="00816F8C" w:rsidRPr="00BB5E2F" w:rsidRDefault="00816F8C" w:rsidP="00816F8C">
      <w:pPr>
        <w:spacing w:before="120"/>
        <w:jc w:val="center"/>
        <w:rPr>
          <w:sz w:val="36"/>
          <w:szCs w:val="36"/>
        </w:rPr>
      </w:pPr>
      <w:r>
        <w:rPr>
          <w:noProof/>
        </w:rPr>
        <mc:AlternateContent>
          <mc:Choice Requires="wps">
            <w:drawing>
              <wp:anchor distT="152400" distB="152400" distL="152400" distR="152400" simplePos="0" relativeHeight="251658241" behindDoc="1" locked="0" layoutInCell="1" allowOverlap="1" wp14:anchorId="2A51A090" wp14:editId="188983D0">
                <wp:simplePos x="0" y="0"/>
                <wp:positionH relativeFrom="margin">
                  <wp:align>left</wp:align>
                </wp:positionH>
                <wp:positionV relativeFrom="page">
                  <wp:posOffset>517525</wp:posOffset>
                </wp:positionV>
                <wp:extent cx="1483995" cy="1066800"/>
                <wp:effectExtent l="0" t="0" r="0" b="0"/>
                <wp:wrapNone/>
                <wp:docPr id="3" name="officeArt object"/>
                <wp:cNvGraphicFramePr/>
                <a:graphic xmlns:a="http://schemas.openxmlformats.org/drawingml/2006/main">
                  <a:graphicData uri="http://schemas.microsoft.com/office/word/2010/wordprocessingShape">
                    <wps:wsp>
                      <wps:cNvSpPr txBox="1"/>
                      <wps:spPr>
                        <a:xfrm>
                          <a:off x="0" y="0"/>
                          <a:ext cx="1483995" cy="1066800"/>
                        </a:xfrm>
                        <a:prstGeom prst="rect">
                          <a:avLst/>
                        </a:prstGeom>
                        <a:noFill/>
                        <a:ln w="12700" cap="flat">
                          <a:noFill/>
                          <a:miter lim="400000"/>
                        </a:ln>
                        <a:effectLst/>
                      </wps:spPr>
                      <wps:txbx>
                        <w:txbxContent>
                          <w:p w14:paraId="7FD60DFB" w14:textId="77777777"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800 Bradbury Dr. SE</w:t>
                            </w:r>
                          </w:p>
                          <w:p w14:paraId="51E34DFE" w14:textId="74538794"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Suite 21</w:t>
                            </w:r>
                            <w:r w:rsidR="00C56C64">
                              <w:rPr>
                                <w:rFonts w:ascii="Times New Roman" w:hAnsi="Times New Roman" w:cs="Times New Roman"/>
                                <w:b/>
                                <w:bCs/>
                                <w:sz w:val="16"/>
                                <w:szCs w:val="16"/>
                              </w:rPr>
                              <w:t>5</w:t>
                            </w:r>
                          </w:p>
                          <w:p w14:paraId="1833F433" w14:textId="77777777"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Albuquerque, NM 87106</w:t>
                            </w:r>
                          </w:p>
                          <w:p w14:paraId="1C2C03B9" w14:textId="77777777"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(505) 827 7800</w:t>
                            </w:r>
                          </w:p>
                          <w:p w14:paraId="5F9796B7" w14:textId="77777777" w:rsidR="00816F8C" w:rsidRPr="00F57A71" w:rsidRDefault="006C29BF" w:rsidP="00816F8C">
                            <w:pPr>
                              <w:pStyle w:val="Body"/>
                              <w:rPr>
                                <w:rFonts w:ascii="Times New Roman" w:hAnsi="Times New Roman" w:cs="Times New Roman"/>
                                <w:sz w:val="16"/>
                                <w:szCs w:val="16"/>
                              </w:rPr>
                            </w:pPr>
                            <w:hyperlink r:id="rId8" w:history="1">
                              <w:r w:rsidR="00816F8C" w:rsidRPr="00F57A71">
                                <w:rPr>
                                  <w:rStyle w:val="Hyperlink"/>
                                  <w:rFonts w:ascii="Times New Roman" w:hAnsi="Times New Roman" w:cs="Times New Roman"/>
                                  <w:b/>
                                  <w:bCs/>
                                  <w:sz w:val="16"/>
                                  <w:szCs w:val="16"/>
                                </w:rPr>
                                <w:t>www.sec.state.nm.us</w:t>
                              </w:r>
                            </w:hyperlink>
                          </w:p>
                          <w:p w14:paraId="557DC165" w14:textId="77777777" w:rsidR="00816F8C" w:rsidRPr="00922D66" w:rsidRDefault="00816F8C" w:rsidP="00816F8C">
                            <w:pPr>
                              <w:pStyle w:val="Body"/>
                              <w:jc w:val="right"/>
                              <w:rPr>
                                <w:rFonts w:ascii="Times New Roman" w:hAnsi="Times New Roman" w:cs="Times New Roman"/>
                                <w:sz w:val="16"/>
                                <w:szCs w:val="16"/>
                              </w:rPr>
                            </w:pPr>
                            <w:r w:rsidRPr="00922D66">
                              <w:rPr>
                                <w:rFonts w:ascii="Times New Roman" w:hAnsi="Times New Roman" w:cs="Times New Roman"/>
                                <w:sz w:val="16"/>
                                <w:szCs w:val="16"/>
                              </w:rPr>
                              <w:t xml:space="preserve"> </w:t>
                            </w:r>
                          </w:p>
                        </w:txbxContent>
                      </wps:txbx>
                      <wps:bodyPr wrap="square" lIns="50800" tIns="50800" rIns="50800" bIns="50800" numCol="1" anchor="t">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http://schemas.microsoft.com/office/word/2018/wordml" xmlns:w16cex="http://schemas.microsoft.com/office/word/2018/wordml/cex">
            <w:pict>
              <v:shapetype id="_x0000_t202" coordsize="21600,21600" o:spt="202" path="m,l,21600r21600,l21600,xe" w14:anchorId="2A51A090">
                <v:stroke joinstyle="miter"/>
                <v:path gradientshapeok="t" o:connecttype="rect"/>
              </v:shapetype>
              <v:shape id="officeArt object" style="position:absolute;left:0;text-align:left;margin-left:0;margin-top:40.75pt;width:116.85pt;height:84pt;z-index:-251658239;visibility:visible;mso-wrap-style:square;mso-width-percent:0;mso-height-percent:0;mso-wrap-distance-left:12pt;mso-wrap-distance-top:12pt;mso-wrap-distance-right:12pt;mso-wrap-distance-bottom:12pt;mso-position-horizontal:left;mso-position-horizontal-relative:margin;mso-position-vertical:absolute;mso-position-vertical-relative:page;mso-width-percent:0;mso-height-percent:0;mso-width-relative:margin;mso-height-relative:margin;v-text-anchor:top" o:spid="_x0000_s1026"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">
                <v:stroke miterlimit="4"/>
                <v:textbox inset="4pt,4pt,4pt,4pt">
                  <w:txbxContent>
                    <w:p w:rsidRPr="00F57A71" w:rsidR="00816F8C" w:rsidP="00816F8C" w:rsidRDefault="00816F8C" w14:paraId="7FD60DFB" w14:textId="77777777">
                      <w:pPr>
                        <w:pStyle w:val="Body"/>
                        <w:rPr>
                          <w:rFonts w:ascii="Times New Roman" w:hAnsi="Times New Roman" w:cs="Times New Roman"/>
                          <w:b/>
                          <w:bCs/>
                          <w:sz w:val="16"/>
                          <w:szCs w:val="16"/>
                        </w:rPr>
                      </w:pPr>
                      <w:r w:rsidRPr="00F57A71">
                        <w:rPr>
                          <w:rFonts w:ascii="Times New Roman" w:hAnsi="Times New Roman" w:cs="Times New Roman"/>
                          <w:b/>
                          <w:bCs/>
                          <w:sz w:val="16"/>
                          <w:szCs w:val="16"/>
                        </w:rPr>
                        <w:t>800 Bradbury Dr. SE</w:t>
                      </w:r>
                    </w:p>
                    <w:p w:rsidRPr="00F57A71" w:rsidR="00816F8C" w:rsidP="00816F8C" w:rsidRDefault="00816F8C" w14:paraId="51E34DFE" w14:textId="74538794">
                      <w:pPr>
                        <w:pStyle w:val="Body"/>
                        <w:rPr>
                          <w:rFonts w:ascii="Times New Roman" w:hAnsi="Times New Roman" w:cs="Times New Roman"/>
                          <w:b/>
                          <w:bCs/>
                          <w:sz w:val="16"/>
                          <w:szCs w:val="16"/>
                        </w:rPr>
                      </w:pPr>
                      <w:r w:rsidRPr="00F57A71">
                        <w:rPr>
                          <w:rFonts w:ascii="Times New Roman" w:hAnsi="Times New Roman" w:cs="Times New Roman"/>
                          <w:b/>
                          <w:bCs/>
                          <w:sz w:val="16"/>
                          <w:szCs w:val="16"/>
                        </w:rPr>
                        <w:t>Suite 21</w:t>
                      </w:r>
                      <w:r w:rsidR="00C56C64">
                        <w:rPr>
                          <w:rFonts w:ascii="Times New Roman" w:hAnsi="Times New Roman" w:cs="Times New Roman"/>
                          <w:b/>
                          <w:bCs/>
                          <w:sz w:val="16"/>
                          <w:szCs w:val="16"/>
                        </w:rPr>
                        <w:t>5</w:t>
                      </w:r>
                    </w:p>
                    <w:p w:rsidRPr="00F57A71" w:rsidR="00816F8C" w:rsidP="00816F8C" w:rsidRDefault="00816F8C" w14:paraId="1833F433" w14:textId="77777777">
                      <w:pPr>
                        <w:pStyle w:val="Body"/>
                        <w:rPr>
                          <w:rFonts w:ascii="Times New Roman" w:hAnsi="Times New Roman" w:cs="Times New Roman"/>
                          <w:b/>
                          <w:bCs/>
                          <w:sz w:val="16"/>
                          <w:szCs w:val="16"/>
                        </w:rPr>
                      </w:pPr>
                      <w:r w:rsidRPr="00F57A71">
                        <w:rPr>
                          <w:rFonts w:ascii="Times New Roman" w:hAnsi="Times New Roman" w:cs="Times New Roman"/>
                          <w:b/>
                          <w:bCs/>
                          <w:sz w:val="16"/>
                          <w:szCs w:val="16"/>
                        </w:rPr>
                        <w:t>Albuquerque, NM 87106</w:t>
                      </w:r>
                    </w:p>
                    <w:p w:rsidRPr="00F57A71" w:rsidR="00816F8C" w:rsidP="00816F8C" w:rsidRDefault="00816F8C" w14:paraId="1C2C03B9" w14:textId="77777777">
                      <w:pPr>
                        <w:pStyle w:val="Body"/>
                        <w:rPr>
                          <w:rFonts w:ascii="Times New Roman" w:hAnsi="Times New Roman" w:cs="Times New Roman"/>
                          <w:b/>
                          <w:bCs/>
                          <w:sz w:val="16"/>
                          <w:szCs w:val="16"/>
                        </w:rPr>
                      </w:pPr>
                      <w:r w:rsidRPr="00F57A71">
                        <w:rPr>
                          <w:rFonts w:ascii="Times New Roman" w:hAnsi="Times New Roman" w:cs="Times New Roman"/>
                          <w:b/>
                          <w:bCs/>
                          <w:sz w:val="16"/>
                          <w:szCs w:val="16"/>
                        </w:rPr>
                        <w:t>(505) 827 7800</w:t>
                      </w:r>
                    </w:p>
                    <w:p w:rsidRPr="00F57A71" w:rsidR="00816F8C" w:rsidP="00816F8C" w:rsidRDefault="00F47979" w14:paraId="5F9796B7" w14:textId="77777777">
                      <w:pPr>
                        <w:pStyle w:val="Body"/>
                        <w:rPr>
                          <w:rFonts w:ascii="Times New Roman" w:hAnsi="Times New Roman" w:cs="Times New Roman"/>
                          <w:sz w:val="16"/>
                          <w:szCs w:val="16"/>
                        </w:rPr>
                      </w:pPr>
                      <w:hyperlink w:history="1" r:id="rId9">
                        <w:r w:rsidRPr="00F57A71" w:rsidR="00816F8C">
                          <w:rPr>
                            <w:rStyle w:val="Hyperlink"/>
                            <w:rFonts w:ascii="Times New Roman" w:hAnsi="Times New Roman" w:cs="Times New Roman"/>
                            <w:b/>
                            <w:bCs/>
                            <w:sz w:val="16"/>
                            <w:szCs w:val="16"/>
                          </w:rPr>
                          <w:t>www.sec.state.nm.us</w:t>
                        </w:r>
                      </w:hyperlink>
                    </w:p>
                    <w:p w:rsidRPr="00922D66" w:rsidR="00816F8C" w:rsidP="00816F8C" w:rsidRDefault="00816F8C" w14:paraId="557DC165" w14:textId="77777777">
                      <w:pPr>
                        <w:pStyle w:val="Body"/>
                        <w:jc w:val="right"/>
                        <w:rPr>
                          <w:rFonts w:ascii="Times New Roman" w:hAnsi="Times New Roman" w:cs="Times New Roman"/>
                          <w:sz w:val="16"/>
                          <w:szCs w:val="16"/>
                        </w:rPr>
                      </w:pPr>
                      <w:r w:rsidRPr="00922D66">
                        <w:rPr>
                          <w:rFonts w:ascii="Times New Roman" w:hAnsi="Times New Roman" w:cs="Times New Roman"/>
                          <w:sz w:val="16"/>
                          <w:szCs w:val="16"/>
                        </w:rPr>
                        <w:t xml:space="preserve"> </w:t>
                      </w:r>
                    </w:p>
                  </w:txbxContent>
                </v:textbox>
                <w10:wrap anchorx="margin" anchory="page"/>
              </v:shape>
            </w:pict>
          </mc:Fallback>
        </mc:AlternateContent>
      </w:r>
      <w:r>
        <w:rPr>
          <w:noProof/>
        </w:rPr>
        <mc:AlternateContent>
          <mc:Choice Requires="wps">
            <w:drawing>
              <wp:anchor distT="152400" distB="152400" distL="152400" distR="152400" simplePos="0" relativeHeight="251658242" behindDoc="1" locked="0" layoutInCell="1" allowOverlap="1" wp14:anchorId="6E9291AF" wp14:editId="07EBDF96">
                <wp:simplePos x="0" y="0"/>
                <wp:positionH relativeFrom="margin">
                  <wp:align>right</wp:align>
                </wp:positionH>
                <wp:positionV relativeFrom="page">
                  <wp:posOffset>527050</wp:posOffset>
                </wp:positionV>
                <wp:extent cx="1483995" cy="1066800"/>
                <wp:effectExtent l="0" t="0" r="0" b="0"/>
                <wp:wrapNone/>
                <wp:docPr id="1073741831" name="officeArt object"/>
                <wp:cNvGraphicFramePr/>
                <a:graphic xmlns:a="http://schemas.openxmlformats.org/drawingml/2006/main">
                  <a:graphicData uri="http://schemas.microsoft.com/office/word/2010/wordprocessingShape">
                    <wps:wsp>
                      <wps:cNvSpPr txBox="1"/>
                      <wps:spPr>
                        <a:xfrm>
                          <a:off x="0" y="0"/>
                          <a:ext cx="1483995" cy="1066800"/>
                        </a:xfrm>
                        <a:prstGeom prst="rect">
                          <a:avLst/>
                        </a:prstGeom>
                        <a:noFill/>
                        <a:ln w="12700" cap="flat">
                          <a:noFill/>
                          <a:miter lim="400000"/>
                        </a:ln>
                        <a:effectLst/>
                      </wps:spPr>
                      <wps:txbx>
                        <w:txbxContent>
                          <w:p w14:paraId="69F7E94B" w14:textId="77777777" w:rsidR="00816F8C" w:rsidRPr="00922D66" w:rsidRDefault="00816F8C" w:rsidP="00816F8C">
                            <w:pPr>
                              <w:pStyle w:val="Body"/>
                              <w:jc w:val="right"/>
                              <w:rPr>
                                <w:rFonts w:ascii="Times New Roman" w:eastAsia="Times New Roman" w:hAnsi="Times New Roman" w:cs="Times New Roman"/>
                                <w:i/>
                                <w:iCs/>
                                <w:sz w:val="16"/>
                                <w:szCs w:val="16"/>
                              </w:rPr>
                            </w:pPr>
                            <w:r w:rsidRPr="00922D66">
                              <w:rPr>
                                <w:rFonts w:ascii="Times New Roman" w:hAnsi="Times New Roman"/>
                                <w:b/>
                                <w:bCs/>
                                <w:sz w:val="16"/>
                                <w:szCs w:val="16"/>
                              </w:rPr>
                              <w:t xml:space="preserve">Hon. William F. Lang </w:t>
                            </w:r>
                            <w:r w:rsidRPr="00922D66">
                              <w:rPr>
                                <w:rFonts w:ascii="Times New Roman" w:hAnsi="Times New Roman"/>
                                <w:i/>
                                <w:iCs/>
                                <w:sz w:val="16"/>
                                <w:szCs w:val="16"/>
                              </w:rPr>
                              <w:t>(Chair)</w:t>
                            </w:r>
                          </w:p>
                          <w:p w14:paraId="66BDC440"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 xml:space="preserve">Jeff Baker </w:t>
                            </w:r>
                          </w:p>
                          <w:p w14:paraId="191EBB92"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Stuart M. Bluestone</w:t>
                            </w:r>
                          </w:p>
                          <w:p w14:paraId="4B0E8E3B"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Hon. Garrey Carruthers</w:t>
                            </w:r>
                          </w:p>
                          <w:p w14:paraId="08733E23"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 xml:space="preserve">Ron Solimon </w:t>
                            </w:r>
                          </w:p>
                          <w:p w14:paraId="482369E1"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Judy Villanueva</w:t>
                            </w:r>
                          </w:p>
                          <w:p w14:paraId="11A1BA2D" w14:textId="77777777" w:rsidR="00816F8C" w:rsidRPr="00922D66" w:rsidRDefault="00816F8C" w:rsidP="00816F8C">
                            <w:pPr>
                              <w:pStyle w:val="Body"/>
                              <w:jc w:val="right"/>
                              <w:rPr>
                                <w:rFonts w:hint="eastAsia"/>
                                <w:sz w:val="16"/>
                                <w:szCs w:val="16"/>
                              </w:rPr>
                            </w:pPr>
                            <w:r w:rsidRPr="00922D66">
                              <w:rPr>
                                <w:rFonts w:ascii="Times New Roman" w:hAnsi="Times New Roman"/>
                                <w:b/>
                                <w:bCs/>
                                <w:sz w:val="16"/>
                                <w:szCs w:val="16"/>
                              </w:rPr>
                              <w:t>Frances F. Williams</w:t>
                            </w:r>
                            <w:r w:rsidRPr="00922D66">
                              <w:rPr>
                                <w:rFonts w:ascii="Montserrat Bold" w:hAnsi="Montserrat Bold"/>
                                <w:sz w:val="16"/>
                                <w:szCs w:val="16"/>
                              </w:rPr>
                              <w:t xml:space="preserve"> </w:t>
                            </w:r>
                          </w:p>
                        </w:txbxContent>
                      </wps:txbx>
                      <wps:bodyPr wrap="square" lIns="50800" tIns="50800" rIns="50800" bIns="50800" numCol="1" anchor="t">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http://schemas.microsoft.com/office/word/2018/wordml" xmlns:w16cex="http://schemas.microsoft.com/office/word/2018/wordml/cex">
            <w:pict>
              <v:shape id="_x0000_s1027" style="position:absolute;left:0;text-align:left;margin-left:65.65pt;margin-top:41.5pt;width:116.85pt;height:84pt;z-index:-251658238;visibility:visible;mso-wrap-style:square;mso-width-percent:0;mso-height-percent:0;mso-wrap-distance-left:12pt;mso-wrap-distance-top:12pt;mso-wrap-distance-right:12pt;mso-wrap-distance-bottom:12pt;mso-position-horizontal:right;mso-position-horizontal-relative:margin;mso-position-vertical:absolute;mso-position-vertical-relative:page;mso-width-percent:0;mso-height-percent:0;mso-width-relative:margin;mso-height-relative:margin;v-text-anchor:top"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" w14:anchorId="6E9291AF">
                <v:stroke miterlimit="4"/>
                <v:textbox inset="4pt,4pt,4pt,4pt">
                  <w:txbxContent>
                    <w:p w:rsidRPr="00922D66" w:rsidR="00816F8C" w:rsidP="00816F8C" w:rsidRDefault="00816F8C" w14:paraId="69F7E94B" w14:textId="77777777">
                      <w:pPr>
                        <w:pStyle w:val="Body"/>
                        <w:jc w:val="right"/>
                        <w:rPr>
                          <w:rFonts w:ascii="Times New Roman" w:hAnsi="Times New Roman" w:eastAsia="Times New Roman" w:cs="Times New Roman"/>
                          <w:i/>
                          <w:iCs/>
                          <w:sz w:val="16"/>
                          <w:szCs w:val="16"/>
                        </w:rPr>
                      </w:pPr>
                      <w:r w:rsidRPr="00922D66">
                        <w:rPr>
                          <w:rFonts w:ascii="Times New Roman" w:hAnsi="Times New Roman"/>
                          <w:b/>
                          <w:bCs/>
                          <w:sz w:val="16"/>
                          <w:szCs w:val="16"/>
                        </w:rPr>
                        <w:t xml:space="preserve">Hon. William F. Lang </w:t>
                      </w:r>
                      <w:r w:rsidRPr="00922D66">
                        <w:rPr>
                          <w:rFonts w:ascii="Times New Roman" w:hAnsi="Times New Roman"/>
                          <w:i/>
                          <w:iCs/>
                          <w:sz w:val="16"/>
                          <w:szCs w:val="16"/>
                        </w:rPr>
                        <w:t>(Chair)</w:t>
                      </w:r>
                    </w:p>
                    <w:p w:rsidRPr="00922D66" w:rsidR="00816F8C" w:rsidP="00816F8C" w:rsidRDefault="00816F8C" w14:paraId="66BDC440" w14:textId="77777777">
                      <w:pPr>
                        <w:pStyle w:val="Body"/>
                        <w:jc w:val="right"/>
                        <w:rPr>
                          <w:rFonts w:ascii="Times New Roman" w:hAnsi="Times New Roman" w:eastAsia="Times New Roman" w:cs="Times New Roman"/>
                          <w:b/>
                          <w:bCs/>
                          <w:sz w:val="16"/>
                          <w:szCs w:val="16"/>
                        </w:rPr>
                      </w:pPr>
                      <w:r w:rsidRPr="00922D66">
                        <w:rPr>
                          <w:rFonts w:ascii="Times New Roman" w:hAnsi="Times New Roman"/>
                          <w:b/>
                          <w:bCs/>
                          <w:sz w:val="16"/>
                          <w:szCs w:val="16"/>
                        </w:rPr>
                        <w:t xml:space="preserve">Jeff Baker </w:t>
                      </w:r>
                    </w:p>
                    <w:p w:rsidRPr="00922D66" w:rsidR="00816F8C" w:rsidP="00816F8C" w:rsidRDefault="00816F8C" w14:paraId="191EBB92" w14:textId="77777777">
                      <w:pPr>
                        <w:pStyle w:val="Body"/>
                        <w:jc w:val="right"/>
                        <w:rPr>
                          <w:rFonts w:ascii="Times New Roman" w:hAnsi="Times New Roman" w:eastAsia="Times New Roman" w:cs="Times New Roman"/>
                          <w:b/>
                          <w:bCs/>
                          <w:sz w:val="16"/>
                          <w:szCs w:val="16"/>
                        </w:rPr>
                      </w:pPr>
                      <w:r w:rsidRPr="00922D66">
                        <w:rPr>
                          <w:rFonts w:ascii="Times New Roman" w:hAnsi="Times New Roman"/>
                          <w:b/>
                          <w:bCs/>
                          <w:sz w:val="16"/>
                          <w:szCs w:val="16"/>
                        </w:rPr>
                        <w:t>Stuart M. Bluestone</w:t>
                      </w:r>
                    </w:p>
                    <w:p w:rsidRPr="00922D66" w:rsidR="00816F8C" w:rsidP="00816F8C" w:rsidRDefault="00816F8C" w14:paraId="4B0E8E3B" w14:textId="77777777">
                      <w:pPr>
                        <w:pStyle w:val="Body"/>
                        <w:jc w:val="right"/>
                        <w:rPr>
                          <w:rFonts w:ascii="Times New Roman" w:hAnsi="Times New Roman" w:eastAsia="Times New Roman" w:cs="Times New Roman"/>
                          <w:b/>
                          <w:bCs/>
                          <w:sz w:val="16"/>
                          <w:szCs w:val="16"/>
                        </w:rPr>
                      </w:pPr>
                      <w:r w:rsidRPr="00922D66">
                        <w:rPr>
                          <w:rFonts w:ascii="Times New Roman" w:hAnsi="Times New Roman"/>
                          <w:b/>
                          <w:bCs/>
                          <w:sz w:val="16"/>
                          <w:szCs w:val="16"/>
                        </w:rPr>
                        <w:t>Hon. Garrey Carruthers</w:t>
                      </w:r>
                    </w:p>
                    <w:p w:rsidRPr="00922D66" w:rsidR="00816F8C" w:rsidP="00816F8C" w:rsidRDefault="00816F8C" w14:paraId="08733E23" w14:textId="77777777">
                      <w:pPr>
                        <w:pStyle w:val="Body"/>
                        <w:jc w:val="right"/>
                        <w:rPr>
                          <w:rFonts w:ascii="Times New Roman" w:hAnsi="Times New Roman" w:eastAsia="Times New Roman" w:cs="Times New Roman"/>
                          <w:b/>
                          <w:bCs/>
                          <w:sz w:val="16"/>
                          <w:szCs w:val="16"/>
                        </w:rPr>
                      </w:pPr>
                      <w:r w:rsidRPr="00922D66">
                        <w:rPr>
                          <w:rFonts w:ascii="Times New Roman" w:hAnsi="Times New Roman"/>
                          <w:b/>
                          <w:bCs/>
                          <w:sz w:val="16"/>
                          <w:szCs w:val="16"/>
                        </w:rPr>
                        <w:t xml:space="preserve">Ron Solimon </w:t>
                      </w:r>
                    </w:p>
                    <w:p w:rsidRPr="00922D66" w:rsidR="00816F8C" w:rsidP="00816F8C" w:rsidRDefault="00816F8C" w14:paraId="482369E1" w14:textId="77777777">
                      <w:pPr>
                        <w:pStyle w:val="Body"/>
                        <w:jc w:val="right"/>
                        <w:rPr>
                          <w:rFonts w:ascii="Times New Roman" w:hAnsi="Times New Roman" w:eastAsia="Times New Roman" w:cs="Times New Roman"/>
                          <w:b/>
                          <w:bCs/>
                          <w:sz w:val="16"/>
                          <w:szCs w:val="16"/>
                        </w:rPr>
                      </w:pPr>
                      <w:r w:rsidRPr="00922D66">
                        <w:rPr>
                          <w:rFonts w:ascii="Times New Roman" w:hAnsi="Times New Roman"/>
                          <w:b/>
                          <w:bCs/>
                          <w:sz w:val="16"/>
                          <w:szCs w:val="16"/>
                        </w:rPr>
                        <w:t>Judy Villanueva</w:t>
                      </w:r>
                    </w:p>
                    <w:p w:rsidRPr="00922D66" w:rsidR="00816F8C" w:rsidP="00816F8C" w:rsidRDefault="00816F8C" w14:paraId="11A1BA2D" w14:textId="77777777">
                      <w:pPr>
                        <w:pStyle w:val="Body"/>
                        <w:jc w:val="right"/>
                        <w:rPr>
                          <w:rFonts w:hint="eastAsia"/>
                          <w:sz w:val="16"/>
                          <w:szCs w:val="16"/>
                        </w:rPr>
                      </w:pPr>
                      <w:r w:rsidRPr="00922D66">
                        <w:rPr>
                          <w:rFonts w:ascii="Times New Roman" w:hAnsi="Times New Roman"/>
                          <w:b/>
                          <w:bCs/>
                          <w:sz w:val="16"/>
                          <w:szCs w:val="16"/>
                        </w:rPr>
                        <w:t>Frances F. Williams</w:t>
                      </w:r>
                      <w:r w:rsidRPr="00922D66">
                        <w:rPr>
                          <w:rFonts w:ascii="Montserrat Bold" w:hAnsi="Montserrat Bold"/>
                          <w:sz w:val="16"/>
                          <w:szCs w:val="16"/>
                        </w:rPr>
                        <w:t xml:space="preserve"> </w:t>
                      </w:r>
                    </w:p>
                  </w:txbxContent>
                </v:textbox>
                <w10:wrap anchorx="margin" anchory="page"/>
              </v:shape>
            </w:pict>
          </mc:Fallback>
        </mc:AlternateContent>
      </w:r>
      <w:r w:rsidRPr="00624968">
        <w:rPr>
          <w:sz w:val="36"/>
          <w:szCs w:val="36"/>
          <w:u w:val="single"/>
        </w:rPr>
        <w:t>STATE ETHICS COMMISSION</w:t>
      </w:r>
    </w:p>
    <w:p w14:paraId="0470173C" w14:textId="77777777" w:rsidR="00816F8C" w:rsidRDefault="00816F8C" w:rsidP="00816F8C">
      <w:r>
        <w:tab/>
      </w:r>
    </w:p>
    <w:p w14:paraId="21B4B324" w14:textId="77777777" w:rsidR="00624391" w:rsidRDefault="00816F8C" w:rsidP="00624391">
      <w:pPr>
        <w:jc w:val="center"/>
      </w:pPr>
      <w:r>
        <w:t xml:space="preserve"> </w:t>
      </w:r>
    </w:p>
    <w:p w14:paraId="3FEA9CFE" w14:textId="7F52AC9B" w:rsidR="00624391" w:rsidRDefault="00624391" w:rsidP="00624391">
      <w:pPr>
        <w:jc w:val="center"/>
        <w:rPr>
          <w:b/>
          <w:bCs/>
        </w:rPr>
      </w:pPr>
      <w:r w:rsidRPr="792DCFE8">
        <w:rPr>
          <w:b/>
          <w:bCs/>
        </w:rPr>
        <w:t>CONCISE EXPLANATORY STATEMENT FOR AMENDMENTS TO 1.8.1 NMAC</w:t>
      </w:r>
    </w:p>
    <w:p w14:paraId="26959B22" w14:textId="77777777" w:rsidR="00624391" w:rsidRDefault="00624391" w:rsidP="00624391">
      <w:pPr>
        <w:jc w:val="center"/>
      </w:pPr>
      <w:r>
        <w:t>(NMSA 1978, § 14-4-5.5 &amp; 1.24.25.14.F NMAC)</w:t>
      </w:r>
    </w:p>
    <w:p w14:paraId="546D3F8B" w14:textId="77777777" w:rsidR="00624391" w:rsidRPr="00F76486" w:rsidRDefault="00624391" w:rsidP="00624391">
      <w:pPr>
        <w:jc w:val="center"/>
      </w:pPr>
    </w:p>
    <w:p w14:paraId="7E2B8950" w14:textId="77777777" w:rsidR="00624391" w:rsidRPr="00F76486" w:rsidRDefault="00624391" w:rsidP="00624391">
      <w:pPr>
        <w:jc w:val="center"/>
      </w:pPr>
      <w:bookmarkStart w:id="2" w:name="_Hlk26257018"/>
      <w:r w:rsidRPr="792DCFE8">
        <w:t>Submitted to New Mexico State Records Center and Archives: October __, 2020</w:t>
      </w:r>
    </w:p>
    <w:p w14:paraId="673FCFC0" w14:textId="77777777" w:rsidR="00624391" w:rsidRDefault="00624391" w:rsidP="00624391">
      <w:pPr>
        <w:pBdr>
          <w:bottom w:val="single" w:sz="6" w:space="1" w:color="auto"/>
        </w:pBdr>
        <w:jc w:val="both"/>
        <w:rPr>
          <w:b/>
        </w:rPr>
      </w:pPr>
    </w:p>
    <w:p w14:paraId="1611E52D" w14:textId="77777777" w:rsidR="00624391" w:rsidRDefault="00624391" w:rsidP="00624391"/>
    <w:bookmarkEnd w:id="2"/>
    <w:p w14:paraId="47919C74" w14:textId="77777777" w:rsidR="00624391" w:rsidRDefault="00624391" w:rsidP="00624391"/>
    <w:p w14:paraId="382BF551" w14:textId="77777777" w:rsidR="00624391" w:rsidRDefault="00624391" w:rsidP="00624391">
      <w:pPr>
        <w:pStyle w:val="ListParagraph"/>
        <w:numPr>
          <w:ilvl w:val="0"/>
          <w:numId w:val="2"/>
        </w:numPr>
        <w:spacing w:after="0" w:line="240" w:lineRule="auto"/>
        <w:rPr>
          <w:rFonts w:eastAsiaTheme="minorEastAsia"/>
          <w:sz w:val="24"/>
          <w:szCs w:val="24"/>
        </w:rPr>
      </w:pPr>
      <w:r w:rsidRPr="009B6962">
        <w:rPr>
          <w:rFonts w:ascii="Times New Roman" w:hAnsi="Times New Roman" w:cs="Times New Roman"/>
          <w:b/>
          <w:bCs/>
          <w:sz w:val="24"/>
          <w:szCs w:val="24"/>
          <w:u w:val="single"/>
        </w:rPr>
        <w:t>Citation to authority authorizing rule</w:t>
      </w:r>
      <w:r w:rsidRPr="32087EC5">
        <w:rPr>
          <w:rFonts w:ascii="Times New Roman" w:hAnsi="Times New Roman" w:cs="Times New Roman"/>
          <w:sz w:val="24"/>
          <w:szCs w:val="24"/>
        </w:rPr>
        <w:t xml:space="preserve">: </w:t>
      </w:r>
      <w:r w:rsidRPr="32087EC5">
        <w:rPr>
          <w:rFonts w:ascii="Times New Roman" w:eastAsia="Times New Roman" w:hAnsi="Times New Roman" w:cs="Times New Roman"/>
          <w:sz w:val="24"/>
          <w:szCs w:val="24"/>
        </w:rPr>
        <w:t>Paragraph 2 of Subsection A of Section 10-16G-5, State Ethics Commission Act, Section 10-16G-1 NMSA 1978; Subsection (C) of Section 10-15-1, Open Meetings Act, Section 10-15-1 NMSA 1978.</w:t>
      </w:r>
    </w:p>
    <w:p w14:paraId="096F02D7" w14:textId="77777777" w:rsidR="00624391" w:rsidRDefault="00624391" w:rsidP="00624391">
      <w:pPr>
        <w:pStyle w:val="ListParagraph"/>
        <w:spacing w:after="0" w:line="240" w:lineRule="auto"/>
        <w:rPr>
          <w:rFonts w:ascii="Times New Roman" w:hAnsi="Times New Roman" w:cs="Times New Roman"/>
          <w:sz w:val="24"/>
          <w:szCs w:val="24"/>
        </w:rPr>
      </w:pPr>
    </w:p>
    <w:p w14:paraId="1581283D" w14:textId="00D91952" w:rsidR="2A8DD5A4" w:rsidRDefault="2A8DD5A4" w:rsidP="2A86F5BE">
      <w:pPr>
        <w:pStyle w:val="ListParagraph"/>
        <w:numPr>
          <w:ilvl w:val="0"/>
          <w:numId w:val="2"/>
        </w:numPr>
        <w:spacing w:after="0" w:line="240" w:lineRule="auto"/>
        <w:rPr>
          <w:sz w:val="24"/>
          <w:szCs w:val="24"/>
        </w:rPr>
      </w:pPr>
      <w:r w:rsidRPr="2A86F5BE">
        <w:rPr>
          <w:rFonts w:ascii="Times New Roman" w:eastAsia="Times New Roman" w:hAnsi="Times New Roman" w:cs="Times New Roman"/>
          <w:b/>
          <w:bCs/>
          <w:sz w:val="24"/>
          <w:szCs w:val="24"/>
          <w:u w:val="single"/>
        </w:rPr>
        <w:t>Effective date of rule</w:t>
      </w:r>
      <w:r w:rsidRPr="2A86F5BE">
        <w:rPr>
          <w:rFonts w:ascii="Times New Roman" w:eastAsia="Times New Roman" w:hAnsi="Times New Roman" w:cs="Times New Roman"/>
          <w:sz w:val="24"/>
          <w:szCs w:val="24"/>
        </w:rPr>
        <w:t xml:space="preserve">: Date of final publication in </w:t>
      </w:r>
      <w:r w:rsidRPr="2A86F5BE">
        <w:rPr>
          <w:rFonts w:ascii="Times New Roman" w:eastAsia="Times New Roman" w:hAnsi="Times New Roman" w:cs="Times New Roman"/>
          <w:i/>
          <w:iCs/>
          <w:sz w:val="24"/>
          <w:szCs w:val="24"/>
        </w:rPr>
        <w:t>New Mexico Register</w:t>
      </w:r>
      <w:r w:rsidRPr="2A86F5BE">
        <w:rPr>
          <w:rFonts w:ascii="Times New Roman" w:eastAsia="Times New Roman" w:hAnsi="Times New Roman" w:cs="Times New Roman"/>
          <w:sz w:val="24"/>
          <w:szCs w:val="24"/>
        </w:rPr>
        <w:t>, likely Vol. XXXI, Issue 20 (October 27, 2020).</w:t>
      </w:r>
    </w:p>
    <w:p w14:paraId="7F359F97" w14:textId="77777777" w:rsidR="00624391" w:rsidRPr="007107FB" w:rsidRDefault="00624391" w:rsidP="00624391"/>
    <w:p w14:paraId="47386F4D" w14:textId="77777777" w:rsidR="00624391" w:rsidRDefault="00624391" w:rsidP="00624391">
      <w:pPr>
        <w:pStyle w:val="ListParagraph"/>
        <w:numPr>
          <w:ilvl w:val="0"/>
          <w:numId w:val="2"/>
        </w:numPr>
        <w:spacing w:after="0" w:line="240" w:lineRule="auto"/>
        <w:rPr>
          <w:rFonts w:ascii="Times New Roman" w:hAnsi="Times New Roman" w:cs="Times New Roman"/>
          <w:sz w:val="24"/>
          <w:szCs w:val="24"/>
        </w:rPr>
      </w:pPr>
      <w:r w:rsidRPr="2A86F5BE">
        <w:rPr>
          <w:rFonts w:ascii="Times New Roman" w:hAnsi="Times New Roman" w:cs="Times New Roman"/>
          <w:b/>
          <w:bCs/>
          <w:sz w:val="24"/>
          <w:szCs w:val="24"/>
          <w:u w:val="single"/>
        </w:rPr>
        <w:t>Date of adoption of rule</w:t>
      </w:r>
      <w:r w:rsidRPr="2A86F5BE">
        <w:rPr>
          <w:rFonts w:ascii="Times New Roman" w:hAnsi="Times New Roman" w:cs="Times New Roman"/>
          <w:sz w:val="24"/>
          <w:szCs w:val="24"/>
        </w:rPr>
        <w:t>: October 2, 2020</w:t>
      </w:r>
    </w:p>
    <w:p w14:paraId="5B12A8B9" w14:textId="77777777" w:rsidR="00624391" w:rsidRPr="007107FB" w:rsidRDefault="00624391" w:rsidP="00624391"/>
    <w:p w14:paraId="75DFB38B" w14:textId="77777777" w:rsidR="00624391" w:rsidRDefault="00624391" w:rsidP="00624391">
      <w:pPr>
        <w:pStyle w:val="ListParagraph"/>
        <w:numPr>
          <w:ilvl w:val="0"/>
          <w:numId w:val="2"/>
        </w:numPr>
        <w:spacing w:after="0" w:line="240" w:lineRule="auto"/>
        <w:rPr>
          <w:rFonts w:ascii="Times New Roman" w:hAnsi="Times New Roman" w:cs="Times New Roman"/>
          <w:sz w:val="24"/>
          <w:szCs w:val="24"/>
        </w:rPr>
      </w:pPr>
      <w:r w:rsidRPr="2A86F5BE">
        <w:rPr>
          <w:rFonts w:ascii="Times New Roman" w:hAnsi="Times New Roman" w:cs="Times New Roman"/>
          <w:b/>
          <w:bCs/>
          <w:sz w:val="24"/>
          <w:szCs w:val="24"/>
          <w:u w:val="single"/>
        </w:rPr>
        <w:t>Date of meeting at which agency voted to approve rule</w:t>
      </w:r>
      <w:r w:rsidRPr="2A86F5BE">
        <w:rPr>
          <w:rFonts w:ascii="Times New Roman" w:hAnsi="Times New Roman" w:cs="Times New Roman"/>
          <w:sz w:val="24"/>
          <w:szCs w:val="24"/>
        </w:rPr>
        <w:t>: October 2, 2020</w:t>
      </w:r>
    </w:p>
    <w:p w14:paraId="21F7E2BE" w14:textId="77777777" w:rsidR="00624391" w:rsidRPr="007107FB" w:rsidRDefault="00624391" w:rsidP="00624391"/>
    <w:p w14:paraId="3DC2679E" w14:textId="77777777" w:rsidR="00624391" w:rsidRPr="007107FB" w:rsidRDefault="00624391" w:rsidP="00624391">
      <w:pPr>
        <w:pStyle w:val="ListParagraph"/>
        <w:numPr>
          <w:ilvl w:val="0"/>
          <w:numId w:val="2"/>
        </w:numPr>
        <w:spacing w:after="0" w:line="240" w:lineRule="auto"/>
        <w:rPr>
          <w:rFonts w:ascii="Times New Roman" w:hAnsi="Times New Roman" w:cs="Times New Roman"/>
          <w:sz w:val="24"/>
          <w:szCs w:val="24"/>
        </w:rPr>
      </w:pPr>
      <w:r w:rsidRPr="2A86F5BE">
        <w:rPr>
          <w:rFonts w:ascii="Times New Roman" w:hAnsi="Times New Roman" w:cs="Times New Roman"/>
          <w:b/>
          <w:bCs/>
          <w:sz w:val="24"/>
          <w:szCs w:val="24"/>
          <w:u w:val="single"/>
        </w:rPr>
        <w:t>Reasons for adopting rule</w:t>
      </w:r>
      <w:r w:rsidRPr="2A86F5BE">
        <w:rPr>
          <w:rFonts w:ascii="Times New Roman" w:hAnsi="Times New Roman" w:cs="Times New Roman"/>
          <w:sz w:val="24"/>
          <w:szCs w:val="24"/>
        </w:rPr>
        <w:t xml:space="preserve">: </w:t>
      </w:r>
    </w:p>
    <w:p w14:paraId="660DF502" w14:textId="77777777" w:rsidR="00624391" w:rsidRPr="007107FB" w:rsidRDefault="00624391" w:rsidP="00624391">
      <w:pPr>
        <w:ind w:left="360"/>
      </w:pPr>
    </w:p>
    <w:p w14:paraId="407D3B0C" w14:textId="77777777" w:rsidR="00624391" w:rsidRPr="007107FB" w:rsidRDefault="00624391" w:rsidP="00624391">
      <w:pPr>
        <w:pStyle w:val="ListParagraph"/>
        <w:numPr>
          <w:ilvl w:val="1"/>
          <w:numId w:val="2"/>
        </w:numPr>
        <w:spacing w:after="0" w:line="240" w:lineRule="auto"/>
        <w:rPr>
          <w:sz w:val="24"/>
          <w:szCs w:val="24"/>
        </w:rPr>
      </w:pPr>
      <w:r w:rsidRPr="2A86F5BE">
        <w:rPr>
          <w:rFonts w:ascii="Times New Roman" w:hAnsi="Times New Roman" w:cs="Times New Roman"/>
          <w:sz w:val="24"/>
          <w:szCs w:val="24"/>
          <w:u w:val="single"/>
        </w:rPr>
        <w:t>1.8.1.9 &amp; 1.8.1.10</w:t>
      </w:r>
      <w:r w:rsidRPr="2A86F5BE">
        <w:rPr>
          <w:rFonts w:ascii="Times New Roman" w:hAnsi="Times New Roman" w:cs="Times New Roman"/>
          <w:sz w:val="24"/>
          <w:szCs w:val="24"/>
        </w:rPr>
        <w:t>: To establish a procedure whereby persons authorized to request advisory opinions may submit a request for an informal advisory opinion and receive the opinion from either the Commission’s General Counsel or Executive Director before the next-scheduled Commission meeting.</w:t>
      </w:r>
    </w:p>
    <w:p w14:paraId="1F4F15BA" w14:textId="77777777" w:rsidR="00624391" w:rsidRDefault="00624391" w:rsidP="00624391">
      <w:pPr>
        <w:ind w:left="1080"/>
      </w:pPr>
    </w:p>
    <w:p w14:paraId="3801364B" w14:textId="58E440B0" w:rsidR="00624391" w:rsidRPr="00CF677E" w:rsidRDefault="00624391" w:rsidP="00624391">
      <w:pPr>
        <w:pStyle w:val="ListParagraph"/>
        <w:numPr>
          <w:ilvl w:val="1"/>
          <w:numId w:val="2"/>
        </w:numPr>
        <w:spacing w:after="0" w:line="240" w:lineRule="auto"/>
        <w:rPr>
          <w:sz w:val="24"/>
          <w:szCs w:val="24"/>
        </w:rPr>
      </w:pPr>
      <w:r w:rsidRPr="2A86F5BE">
        <w:rPr>
          <w:rFonts w:ascii="Times New Roman" w:hAnsi="Times New Roman" w:cs="Times New Roman"/>
          <w:sz w:val="24"/>
          <w:szCs w:val="24"/>
          <w:u w:val="single"/>
        </w:rPr>
        <w:t>1.8.1.16</w:t>
      </w:r>
      <w:r w:rsidRPr="2A86F5BE">
        <w:rPr>
          <w:rFonts w:ascii="Times New Roman" w:hAnsi="Times New Roman" w:cs="Times New Roman"/>
          <w:sz w:val="24"/>
          <w:szCs w:val="24"/>
        </w:rPr>
        <w:t>:  To authorize virtual Commission meetings via web or teleconference in accordance with the Open Meetings Act, NMSA 1978, Section 10-15-1(C).</w:t>
      </w:r>
    </w:p>
    <w:p w14:paraId="218CBE27" w14:textId="5968CD2F" w:rsidR="0083372A" w:rsidRDefault="0083372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br w:type="page"/>
      </w:r>
    </w:p>
    <w:p w14:paraId="249461E3" w14:textId="77777777" w:rsidR="00624391" w:rsidRPr="007107FB" w:rsidRDefault="00624391" w:rsidP="0083372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p w14:paraId="2F67AF04" w14:textId="77777777" w:rsidR="00624391" w:rsidRPr="009B6962" w:rsidRDefault="00624391" w:rsidP="00624391">
      <w:pPr>
        <w:pStyle w:val="ListParagraph"/>
        <w:numPr>
          <w:ilvl w:val="0"/>
          <w:numId w:val="2"/>
        </w:numPr>
        <w:spacing w:after="0" w:line="240" w:lineRule="auto"/>
        <w:rPr>
          <w:rFonts w:ascii="Times New Roman" w:eastAsia="Times New Roman" w:hAnsi="Times New Roman" w:cs="Times New Roman"/>
          <w:sz w:val="24"/>
          <w:szCs w:val="24"/>
        </w:rPr>
      </w:pPr>
      <w:r w:rsidRPr="2A86F5BE">
        <w:rPr>
          <w:rFonts w:ascii="Times New Roman" w:eastAsia="Times New Roman" w:hAnsi="Times New Roman" w:cs="Times New Roman"/>
          <w:b/>
          <w:bCs/>
          <w:sz w:val="24"/>
          <w:szCs w:val="24"/>
          <w:u w:val="single"/>
        </w:rPr>
        <w:t>Reasons for any change between the initial published amendments to rule and final adopted amendments to rule</w:t>
      </w:r>
      <w:r w:rsidRPr="2A86F5BE">
        <w:rPr>
          <w:rFonts w:ascii="Times New Roman" w:eastAsia="Times New Roman" w:hAnsi="Times New Roman" w:cs="Times New Roman"/>
          <w:b/>
          <w:bCs/>
          <w:sz w:val="24"/>
          <w:szCs w:val="24"/>
        </w:rPr>
        <w:t>:</w:t>
      </w:r>
    </w:p>
    <w:p w14:paraId="37B205EB" w14:textId="77777777" w:rsidR="00624391" w:rsidRPr="007107FB" w:rsidRDefault="00624391" w:rsidP="00624391">
      <w:pPr>
        <w:jc w:val="both"/>
        <w:rPr>
          <w:rFonts w:eastAsia="Times New Roman"/>
        </w:rPr>
      </w:pPr>
    </w:p>
    <w:p w14:paraId="4399DD91" w14:textId="77777777" w:rsidR="00624391" w:rsidRPr="007107FB" w:rsidRDefault="00624391" w:rsidP="00624391">
      <w:pPr>
        <w:jc w:val="both"/>
        <w:rPr>
          <w:rFonts w:eastAsia="Times New Roman"/>
        </w:rPr>
      </w:pPr>
    </w:p>
    <w:p w14:paraId="3548D6B8" w14:textId="50FE5371" w:rsidR="30F5840A" w:rsidRDefault="30F5840A" w:rsidP="4C934DE0">
      <w:pPr>
        <w:rPr>
          <w:rFonts w:eastAsia="Times New Roman"/>
          <w:b/>
          <w:bCs/>
        </w:rPr>
      </w:pPr>
      <w:r w:rsidRPr="4C934DE0">
        <w:rPr>
          <w:rFonts w:eastAsia="Times New Roman"/>
          <w:b/>
          <w:bCs/>
        </w:rPr>
        <w:t>Section 1.8.1.1</w:t>
      </w:r>
      <w:r w:rsidR="001F332C">
        <w:rPr>
          <w:rFonts w:eastAsia="Times New Roman"/>
          <w:b/>
          <w:bCs/>
        </w:rPr>
        <w:tab/>
      </w:r>
      <w:r w:rsidRPr="4C934DE0">
        <w:rPr>
          <w:rFonts w:eastAsia="Times New Roman"/>
          <w:b/>
          <w:bCs/>
        </w:rPr>
        <w:t>ISSUING AGENCY</w:t>
      </w:r>
    </w:p>
    <w:p w14:paraId="25FF050A" w14:textId="77777777" w:rsidR="4C934DE0" w:rsidRDefault="4C934DE0" w:rsidP="4C934DE0">
      <w:pPr>
        <w:rPr>
          <w:rFonts w:eastAsia="Times New Roman"/>
        </w:rPr>
      </w:pPr>
    </w:p>
    <w:p w14:paraId="271516E7" w14:textId="25AF90F2" w:rsidR="30F5840A" w:rsidRDefault="30F5840A" w:rsidP="4C934DE0">
      <w:pPr>
        <w:rPr>
          <w:rFonts w:eastAsia="Times New Roman"/>
        </w:rPr>
      </w:pPr>
      <w:r w:rsidRPr="4C934DE0">
        <w:rPr>
          <w:rFonts w:eastAsia="Times New Roman"/>
        </w:rPr>
        <w:t>No changes.</w:t>
      </w:r>
    </w:p>
    <w:p w14:paraId="07AD7767" w14:textId="77777777" w:rsidR="4C934DE0" w:rsidRDefault="4C934DE0" w:rsidP="4C934DE0">
      <w:pPr>
        <w:rPr>
          <w:rFonts w:eastAsia="Times New Roman"/>
        </w:rPr>
      </w:pPr>
    </w:p>
    <w:p w14:paraId="3BA7B01F" w14:textId="5C054393" w:rsidR="30F5840A" w:rsidRDefault="30F5840A" w:rsidP="4C934DE0">
      <w:pPr>
        <w:rPr>
          <w:rFonts w:eastAsia="Times New Roman"/>
          <w:b/>
          <w:bCs/>
        </w:rPr>
      </w:pPr>
      <w:r w:rsidRPr="4C934DE0">
        <w:rPr>
          <w:rFonts w:eastAsia="Times New Roman"/>
          <w:b/>
          <w:bCs/>
        </w:rPr>
        <w:t>Section 1.8.1.3</w:t>
      </w:r>
      <w:r w:rsidR="001F332C">
        <w:rPr>
          <w:rFonts w:eastAsia="Times New Roman"/>
          <w:b/>
          <w:bCs/>
        </w:rPr>
        <w:tab/>
      </w:r>
      <w:r w:rsidRPr="4C934DE0">
        <w:rPr>
          <w:rFonts w:eastAsia="Times New Roman"/>
          <w:b/>
          <w:bCs/>
        </w:rPr>
        <w:t>STATUTORY AUTHORITY</w:t>
      </w:r>
    </w:p>
    <w:p w14:paraId="1060DD24" w14:textId="77777777" w:rsidR="4C934DE0" w:rsidRDefault="4C934DE0" w:rsidP="4C934DE0">
      <w:pPr>
        <w:rPr>
          <w:rFonts w:eastAsia="Times New Roman"/>
        </w:rPr>
      </w:pPr>
    </w:p>
    <w:p w14:paraId="0C6DF769" w14:textId="20E8418A" w:rsidR="30F5840A" w:rsidRDefault="009C1998" w:rsidP="4C934DE0">
      <w:pPr>
        <w:rPr>
          <w:rFonts w:eastAsia="Times New Roman"/>
        </w:rPr>
      </w:pPr>
      <w:r>
        <w:rPr>
          <w:rFonts w:eastAsia="Times New Roman"/>
          <w:u w:val="single"/>
        </w:rPr>
        <w:t>1.8.1.</w:t>
      </w:r>
      <w:r w:rsidR="00C850B3">
        <w:rPr>
          <w:rFonts w:eastAsia="Times New Roman"/>
          <w:u w:val="single"/>
        </w:rPr>
        <w:t>3:</w:t>
      </w:r>
      <w:r w:rsidR="00C850B3">
        <w:rPr>
          <w:rFonts w:eastAsia="Times New Roman"/>
        </w:rPr>
        <w:t xml:space="preserve"> </w:t>
      </w:r>
      <w:r w:rsidR="00916475">
        <w:rPr>
          <w:rFonts w:eastAsia="Times New Roman"/>
        </w:rPr>
        <w:t>Included reference to Section 10-16-13.1 of the Governmental Conduct Act.</w:t>
      </w:r>
    </w:p>
    <w:p w14:paraId="09270548" w14:textId="39024CD6" w:rsidR="00916475" w:rsidRDefault="00916475" w:rsidP="4C934DE0">
      <w:pPr>
        <w:rPr>
          <w:rFonts w:eastAsia="Times New Roman"/>
        </w:rPr>
      </w:pPr>
    </w:p>
    <w:p w14:paraId="284A71A1" w14:textId="0A4C6014" w:rsidR="00916475" w:rsidRPr="00916475" w:rsidRDefault="00916475" w:rsidP="4C934DE0">
      <w:pPr>
        <w:rPr>
          <w:rFonts w:eastAsia="Times New Roman"/>
        </w:rPr>
      </w:pPr>
      <w:r>
        <w:rPr>
          <w:rFonts w:eastAsia="Times New Roman"/>
        </w:rPr>
        <w:tab/>
      </w:r>
      <w:r>
        <w:rPr>
          <w:rFonts w:eastAsia="Times New Roman"/>
          <w:u w:val="single"/>
        </w:rPr>
        <w:t>Rationale</w:t>
      </w:r>
      <w:r>
        <w:rPr>
          <w:rFonts w:eastAsia="Times New Roman"/>
        </w:rPr>
        <w:t xml:space="preserve">: </w:t>
      </w:r>
      <w:r w:rsidR="0040766B">
        <w:rPr>
          <w:rFonts w:eastAsia="Times New Roman"/>
        </w:rPr>
        <w:t>Under the Governmental Conduct Act, the State Ethics Commission is required to “</w:t>
      </w:r>
      <w:r w:rsidR="0040766B" w:rsidRPr="0040766B">
        <w:rPr>
          <w:rFonts w:eastAsia="Times New Roman"/>
        </w:rPr>
        <w:t>advise and seek to educate all persons required to perform duties under the Governmental Conduct Act of those duties</w:t>
      </w:r>
      <w:r w:rsidR="00F50017">
        <w:rPr>
          <w:rFonts w:eastAsia="Times New Roman"/>
        </w:rPr>
        <w:t xml:space="preserve">.” § 10-16-13.1(A). </w:t>
      </w:r>
      <w:r w:rsidR="00FD587F">
        <w:rPr>
          <w:rFonts w:eastAsia="Times New Roman"/>
        </w:rPr>
        <w:t xml:space="preserve"> But local government officers and employees are not authorized to request formal advisory opinions.  Commission staff believes the best way to reconcile the Commission’s duty to advis</w:t>
      </w:r>
      <w:r w:rsidR="000834FC">
        <w:rPr>
          <w:rFonts w:eastAsia="Times New Roman"/>
        </w:rPr>
        <w:t>e all persons subject to the Governmental Conduct Act of their duties with the restrictions in the State Ethics Commission’s power to issue formal advisory opinions is to permit local government officers and employees to request informal advisory opinions.  Section 10-16-13.1 provides this authority.</w:t>
      </w:r>
    </w:p>
    <w:p w14:paraId="7F0D7A5E" w14:textId="431C57DE" w:rsidR="00B469E1" w:rsidRDefault="00B469E1" w:rsidP="4C934DE0">
      <w:pPr>
        <w:rPr>
          <w:rFonts w:eastAsia="Times New Roman"/>
        </w:rPr>
      </w:pPr>
    </w:p>
    <w:p w14:paraId="3163B2E5" w14:textId="5F46D5F8" w:rsidR="00B469E1" w:rsidRDefault="00B469E1" w:rsidP="4C934DE0">
      <w:pPr>
        <w:rPr>
          <w:rFonts w:eastAsia="Times New Roman"/>
          <w:b/>
          <w:bCs/>
        </w:rPr>
      </w:pPr>
      <w:r>
        <w:rPr>
          <w:rFonts w:eastAsia="Times New Roman"/>
          <w:b/>
          <w:bCs/>
        </w:rPr>
        <w:t>Section 1.8.1.7</w:t>
      </w:r>
      <w:r>
        <w:rPr>
          <w:rFonts w:eastAsia="Times New Roman"/>
          <w:b/>
          <w:bCs/>
        </w:rPr>
        <w:tab/>
        <w:t>DEFINITIONS</w:t>
      </w:r>
    </w:p>
    <w:p w14:paraId="3B8B6AED" w14:textId="6E91EC26" w:rsidR="00B469E1" w:rsidRDefault="00B469E1" w:rsidP="4C934DE0">
      <w:pPr>
        <w:rPr>
          <w:rFonts w:eastAsia="Times New Roman"/>
          <w:b/>
          <w:bCs/>
        </w:rPr>
      </w:pPr>
    </w:p>
    <w:p w14:paraId="6F1D56C7" w14:textId="6B83BBC9" w:rsidR="00B469E1" w:rsidRDefault="00477171" w:rsidP="4C934DE0">
      <w:pPr>
        <w:rPr>
          <w:rFonts w:eastAsia="Times New Roman"/>
        </w:rPr>
      </w:pPr>
      <w:r>
        <w:rPr>
          <w:rFonts w:eastAsia="Times New Roman"/>
          <w:u w:val="single"/>
        </w:rPr>
        <w:t>1.8.1.7(D):</w:t>
      </w:r>
      <w:r w:rsidR="00AC68B7">
        <w:rPr>
          <w:rFonts w:eastAsia="Times New Roman"/>
        </w:rPr>
        <w:t xml:space="preserve"> </w:t>
      </w:r>
      <w:r w:rsidR="00EF2070">
        <w:rPr>
          <w:rFonts w:eastAsia="Times New Roman"/>
        </w:rPr>
        <w:t>Included reference to definitions contained in the State Ethics Commission Act.</w:t>
      </w:r>
    </w:p>
    <w:p w14:paraId="37C806A8" w14:textId="0FB41F98" w:rsidR="00EF2070" w:rsidRDefault="00EF2070" w:rsidP="4C934DE0">
      <w:pPr>
        <w:rPr>
          <w:rFonts w:eastAsia="Times New Roman"/>
        </w:rPr>
      </w:pPr>
    </w:p>
    <w:p w14:paraId="0C2CC56A" w14:textId="0FF3327B" w:rsidR="00EF2070" w:rsidRPr="00EF2070" w:rsidRDefault="00EF2070" w:rsidP="4C934DE0">
      <w:pPr>
        <w:rPr>
          <w:rFonts w:eastAsia="Times New Roman"/>
        </w:rPr>
      </w:pPr>
      <w:r>
        <w:rPr>
          <w:rFonts w:eastAsia="Times New Roman"/>
        </w:rPr>
        <w:tab/>
      </w:r>
      <w:r>
        <w:rPr>
          <w:rFonts w:eastAsia="Times New Roman"/>
          <w:u w:val="single"/>
        </w:rPr>
        <w:t>Rationale</w:t>
      </w:r>
      <w:r>
        <w:rPr>
          <w:rFonts w:eastAsia="Times New Roman"/>
        </w:rPr>
        <w:t xml:space="preserve">: </w:t>
      </w:r>
      <w:r w:rsidR="00121954">
        <w:rPr>
          <w:rFonts w:eastAsia="Times New Roman"/>
        </w:rPr>
        <w:t>The Commission received comments pointing out that the terms “director” and “general counsel” are not defined in 1.8.3.7 NMAC.  This change directs the reader to the State Ethics Commission Act for those terms as well as any other defined terms.</w:t>
      </w:r>
    </w:p>
    <w:p w14:paraId="08DE71AC" w14:textId="5D8F3F6D" w:rsidR="4C934DE0" w:rsidRDefault="4C934DE0" w:rsidP="4C934DE0">
      <w:pPr>
        <w:jc w:val="both"/>
        <w:rPr>
          <w:rFonts w:eastAsia="Times New Roman"/>
        </w:rPr>
      </w:pPr>
    </w:p>
    <w:p w14:paraId="00D5CB50" w14:textId="38690AC4" w:rsidR="00624391" w:rsidRDefault="00624391" w:rsidP="00624391">
      <w:pPr>
        <w:rPr>
          <w:rFonts w:eastAsia="Times New Roman"/>
          <w:b/>
          <w:bCs/>
        </w:rPr>
      </w:pPr>
      <w:r w:rsidRPr="2EF57F1C">
        <w:rPr>
          <w:rFonts w:eastAsia="Times New Roman"/>
          <w:b/>
          <w:bCs/>
        </w:rPr>
        <w:t>Section 1.8.1.9</w:t>
      </w:r>
      <w:r>
        <w:rPr>
          <w:rFonts w:eastAsia="Times New Roman"/>
          <w:b/>
          <w:bCs/>
        </w:rPr>
        <w:tab/>
      </w:r>
      <w:r w:rsidRPr="2EF57F1C">
        <w:rPr>
          <w:rFonts w:eastAsia="Times New Roman"/>
          <w:b/>
          <w:bCs/>
        </w:rPr>
        <w:t>ADVISORY OPINIONS</w:t>
      </w:r>
    </w:p>
    <w:p w14:paraId="0FD8B365" w14:textId="77777777" w:rsidR="00624391" w:rsidRPr="007107FB" w:rsidRDefault="00624391" w:rsidP="00624391">
      <w:pPr>
        <w:rPr>
          <w:rFonts w:eastAsia="Times New Roman"/>
        </w:rPr>
      </w:pPr>
    </w:p>
    <w:p w14:paraId="24E5620E" w14:textId="5077566F" w:rsidR="00624391" w:rsidRDefault="00624391" w:rsidP="00624391">
      <w:pPr>
        <w:rPr>
          <w:rFonts w:eastAsia="Times New Roman"/>
        </w:rPr>
      </w:pPr>
      <w:r w:rsidRPr="2EF57F1C">
        <w:rPr>
          <w:rFonts w:eastAsia="Times New Roman"/>
          <w:u w:val="single"/>
        </w:rPr>
        <w:t>1.8.1.9</w:t>
      </w:r>
      <w:r w:rsidRPr="2EF57F1C">
        <w:rPr>
          <w:rFonts w:eastAsia="Times New Roman"/>
        </w:rPr>
        <w:t xml:space="preserve">: </w:t>
      </w:r>
      <w:r w:rsidR="00947561">
        <w:rPr>
          <w:rFonts w:eastAsia="Times New Roman"/>
        </w:rPr>
        <w:t xml:space="preserve">Combined </w:t>
      </w:r>
      <w:r w:rsidR="007E7C0D">
        <w:rPr>
          <w:rFonts w:eastAsia="Times New Roman"/>
        </w:rPr>
        <w:t xml:space="preserve">Section 1.8.1.9 </w:t>
      </w:r>
      <w:r w:rsidR="007A3807">
        <w:rPr>
          <w:rFonts w:eastAsia="Times New Roman"/>
        </w:rPr>
        <w:t xml:space="preserve">with Section </w:t>
      </w:r>
      <w:proofErr w:type="gramStart"/>
      <w:r w:rsidR="007A3807">
        <w:rPr>
          <w:rFonts w:eastAsia="Times New Roman"/>
        </w:rPr>
        <w:t>1.8.1.10, and</w:t>
      </w:r>
      <w:proofErr w:type="gramEnd"/>
      <w:r w:rsidR="007A3807">
        <w:rPr>
          <w:rFonts w:eastAsia="Times New Roman"/>
        </w:rPr>
        <w:t xml:space="preserve"> divid</w:t>
      </w:r>
      <w:r w:rsidR="00947561">
        <w:rPr>
          <w:rFonts w:eastAsia="Times New Roman"/>
        </w:rPr>
        <w:t>ed</w:t>
      </w:r>
      <w:r w:rsidR="007A3807">
        <w:rPr>
          <w:rFonts w:eastAsia="Times New Roman"/>
        </w:rPr>
        <w:t xml:space="preserve"> the rule into </w:t>
      </w:r>
      <w:r w:rsidR="00947561">
        <w:rPr>
          <w:rFonts w:eastAsia="Times New Roman"/>
        </w:rPr>
        <w:t xml:space="preserve">new </w:t>
      </w:r>
      <w:r w:rsidR="007A3807">
        <w:rPr>
          <w:rFonts w:eastAsia="Times New Roman"/>
        </w:rPr>
        <w:t xml:space="preserve">subsection A (dealing with advisory opinions) and </w:t>
      </w:r>
      <w:r w:rsidR="00947561">
        <w:rPr>
          <w:rFonts w:eastAsia="Times New Roman"/>
        </w:rPr>
        <w:t xml:space="preserve">new </w:t>
      </w:r>
      <w:r w:rsidR="007A3807">
        <w:rPr>
          <w:rFonts w:eastAsia="Times New Roman"/>
        </w:rPr>
        <w:t xml:space="preserve">subsection B (dealing with informal advisory opinions).  </w:t>
      </w:r>
      <w:r w:rsidR="00C9724E">
        <w:rPr>
          <w:rFonts w:eastAsia="Times New Roman"/>
        </w:rPr>
        <w:t xml:space="preserve">New </w:t>
      </w:r>
      <w:r w:rsidR="006B415E">
        <w:rPr>
          <w:rFonts w:eastAsia="Times New Roman"/>
        </w:rPr>
        <w:t>s</w:t>
      </w:r>
      <w:r w:rsidR="00C9724E">
        <w:rPr>
          <w:rFonts w:eastAsia="Times New Roman"/>
        </w:rPr>
        <w:t xml:space="preserve">ubsection </w:t>
      </w:r>
      <w:proofErr w:type="gramStart"/>
      <w:r w:rsidR="00C9724E">
        <w:rPr>
          <w:rFonts w:eastAsia="Times New Roman"/>
        </w:rPr>
        <w:t>A</w:t>
      </w:r>
      <w:r w:rsidR="00815233">
        <w:rPr>
          <w:rFonts w:eastAsia="Times New Roman"/>
        </w:rPr>
        <w:t>(</w:t>
      </w:r>
      <w:proofErr w:type="gramEnd"/>
      <w:r w:rsidR="00815233">
        <w:rPr>
          <w:rFonts w:eastAsia="Times New Roman"/>
        </w:rPr>
        <w:t>1)</w:t>
      </w:r>
      <w:r w:rsidR="00C9724E">
        <w:rPr>
          <w:rFonts w:eastAsia="Times New Roman"/>
        </w:rPr>
        <w:t xml:space="preserve"> </w:t>
      </w:r>
      <w:r w:rsidR="003A380C">
        <w:rPr>
          <w:rFonts w:eastAsia="Times New Roman"/>
        </w:rPr>
        <w:t xml:space="preserve">sets forth </w:t>
      </w:r>
      <w:r w:rsidR="00802BDF">
        <w:rPr>
          <w:rFonts w:eastAsia="Times New Roman"/>
        </w:rPr>
        <w:t xml:space="preserve">what qualifies as a request for an advisory opinion and the confidentiality requirements for identifying information contained in the request.  </w:t>
      </w:r>
      <w:r w:rsidR="00026290">
        <w:rPr>
          <w:rFonts w:eastAsia="Times New Roman"/>
        </w:rPr>
        <w:t xml:space="preserve">New subsection </w:t>
      </w:r>
      <w:r w:rsidR="00815233">
        <w:rPr>
          <w:rFonts w:eastAsia="Times New Roman"/>
        </w:rPr>
        <w:t>(A)(2)</w:t>
      </w:r>
      <w:r w:rsidR="00134FC9">
        <w:rPr>
          <w:rFonts w:eastAsia="Times New Roman"/>
        </w:rPr>
        <w:t>-(4)</w:t>
      </w:r>
      <w:r w:rsidR="00026290">
        <w:rPr>
          <w:rFonts w:eastAsia="Times New Roman"/>
        </w:rPr>
        <w:t xml:space="preserve"> </w:t>
      </w:r>
      <w:r w:rsidR="005B1517">
        <w:rPr>
          <w:rFonts w:eastAsia="Times New Roman"/>
        </w:rPr>
        <w:t xml:space="preserve">sets out the requirements for the commission’s issuance of an advisory opinion: the commission must either (1) issue an advisory opinion within 60 days of receiving a request; </w:t>
      </w:r>
      <w:r w:rsidR="005B0DFC">
        <w:rPr>
          <w:rFonts w:eastAsia="Times New Roman"/>
        </w:rPr>
        <w:t>(2) inform the requester that the commission will not issue an opinion and provide a written explanation of its decision; or (3) inform the requester that the commission requires more than 60 days to issue an opinion</w:t>
      </w:r>
      <w:r w:rsidR="001601C6">
        <w:rPr>
          <w:rFonts w:eastAsia="Times New Roman"/>
        </w:rPr>
        <w:t xml:space="preserve"> and</w:t>
      </w:r>
      <w:r w:rsidR="005B0DFC">
        <w:rPr>
          <w:rFonts w:eastAsia="Times New Roman"/>
        </w:rPr>
        <w:t xml:space="preserve"> </w:t>
      </w:r>
      <w:r w:rsidR="003B4154">
        <w:rPr>
          <w:rFonts w:eastAsia="Times New Roman"/>
        </w:rPr>
        <w:t>keep the requester updated on the status of the request.</w:t>
      </w:r>
      <w:r w:rsidR="00134FC9">
        <w:rPr>
          <w:rFonts w:eastAsia="Times New Roman"/>
        </w:rPr>
        <w:t xml:space="preserve">  New subsection 1.8.1.9(B) </w:t>
      </w:r>
      <w:r w:rsidR="009A75BF">
        <w:rPr>
          <w:rFonts w:eastAsia="Times New Roman"/>
        </w:rPr>
        <w:t xml:space="preserve">is </w:t>
      </w:r>
      <w:r w:rsidR="005E010C">
        <w:rPr>
          <w:rFonts w:eastAsia="Times New Roman"/>
        </w:rPr>
        <w:t>similar to</w:t>
      </w:r>
      <w:r w:rsidR="009A75BF">
        <w:rPr>
          <w:rFonts w:eastAsia="Times New Roman"/>
        </w:rPr>
        <w:t xml:space="preserve"> proposed section 1.8.1.10, </w:t>
      </w:r>
      <w:r w:rsidR="00F16BE3">
        <w:rPr>
          <w:rFonts w:eastAsia="Times New Roman"/>
        </w:rPr>
        <w:t xml:space="preserve">with the following substantive edits: </w:t>
      </w:r>
      <w:r w:rsidR="006832E5">
        <w:rPr>
          <w:rFonts w:eastAsia="Times New Roman"/>
        </w:rPr>
        <w:t xml:space="preserve">delete </w:t>
      </w:r>
      <w:r w:rsidR="001161A1">
        <w:rPr>
          <w:rFonts w:eastAsia="Times New Roman"/>
        </w:rPr>
        <w:t xml:space="preserve">the </w:t>
      </w:r>
      <w:r w:rsidR="006832E5">
        <w:rPr>
          <w:rFonts w:eastAsia="Times New Roman"/>
        </w:rPr>
        <w:t xml:space="preserve">vague </w:t>
      </w:r>
      <w:r w:rsidR="001161A1">
        <w:rPr>
          <w:rFonts w:eastAsia="Times New Roman"/>
        </w:rPr>
        <w:t xml:space="preserve">phrase </w:t>
      </w:r>
      <w:r w:rsidR="006832E5">
        <w:rPr>
          <w:rFonts w:eastAsia="Times New Roman"/>
        </w:rPr>
        <w:t xml:space="preserve">“for deliberation and </w:t>
      </w:r>
      <w:proofErr w:type="spellStart"/>
      <w:r w:rsidR="001161A1">
        <w:rPr>
          <w:rFonts w:eastAsia="Times New Roman"/>
        </w:rPr>
        <w:t>decisionmaking</w:t>
      </w:r>
      <w:proofErr w:type="spellEnd"/>
      <w:r w:rsidR="001161A1">
        <w:rPr>
          <w:rFonts w:eastAsia="Times New Roman"/>
        </w:rPr>
        <w:t>”</w:t>
      </w:r>
      <w:r w:rsidR="00F16BE3">
        <w:rPr>
          <w:rFonts w:eastAsia="Times New Roman"/>
        </w:rPr>
        <w:t xml:space="preserve"> as unnecessary; addition of a new subsection 1.8.1.9(B)(1) to authorize persons subject to the Governmental Conduct Act to </w:t>
      </w:r>
      <w:r w:rsidR="0026615F">
        <w:rPr>
          <w:rFonts w:eastAsia="Times New Roman"/>
        </w:rPr>
        <w:t>request informal advisory opinions.</w:t>
      </w:r>
    </w:p>
    <w:p w14:paraId="107EC973" w14:textId="77777777" w:rsidR="00624391" w:rsidRPr="007107FB" w:rsidRDefault="00624391" w:rsidP="00624391">
      <w:pPr>
        <w:rPr>
          <w:rFonts w:eastAsia="Times New Roman"/>
        </w:rPr>
      </w:pPr>
    </w:p>
    <w:p w14:paraId="60439FAC" w14:textId="2D62A1A2" w:rsidR="007A3807" w:rsidRDefault="00624391" w:rsidP="00624391">
      <w:pPr>
        <w:ind w:left="720"/>
        <w:rPr>
          <w:rFonts w:eastAsia="Times New Roman"/>
        </w:rPr>
      </w:pPr>
      <w:r w:rsidRPr="2EF57F1C">
        <w:rPr>
          <w:rFonts w:eastAsia="Times New Roman"/>
          <w:u w:val="single"/>
        </w:rPr>
        <w:lastRenderedPageBreak/>
        <w:t>Rationale</w:t>
      </w:r>
      <w:r w:rsidRPr="2EF57F1C">
        <w:rPr>
          <w:rFonts w:eastAsia="Times New Roman"/>
        </w:rPr>
        <w:t xml:space="preserve">: </w:t>
      </w:r>
      <w:r w:rsidR="001161A1">
        <w:rPr>
          <w:rFonts w:eastAsia="Times New Roman"/>
        </w:rPr>
        <w:t>Commission staff recognized that t</w:t>
      </w:r>
      <w:r w:rsidR="000D0B59">
        <w:rPr>
          <w:rFonts w:eastAsia="Times New Roman"/>
        </w:rPr>
        <w:t>here is a potential for members of the public to be confused about the difference between advisory opinions and informal advisory opinions</w:t>
      </w:r>
      <w:r w:rsidR="00954BFE">
        <w:rPr>
          <w:rFonts w:eastAsia="Times New Roman"/>
        </w:rPr>
        <w:t xml:space="preserve">, and that the rules for advisory opinions and informal advisory opinions </w:t>
      </w:r>
      <w:r w:rsidR="007A3807">
        <w:rPr>
          <w:rFonts w:eastAsia="Times New Roman"/>
        </w:rPr>
        <w:t xml:space="preserve">are not organized to correspond to the process for requesting and receiving advisory opinions or informal advisory opinions.  </w:t>
      </w:r>
      <w:r w:rsidR="0026615F">
        <w:rPr>
          <w:rFonts w:eastAsia="Times New Roman"/>
        </w:rPr>
        <w:t xml:space="preserve">In addition, Commission staff believes that in order to discharge the Commission’s obligation to </w:t>
      </w:r>
      <w:r w:rsidR="00E213C4">
        <w:rPr>
          <w:rFonts w:eastAsia="Times New Roman"/>
        </w:rPr>
        <w:t>“</w:t>
      </w:r>
      <w:r w:rsidR="00E213C4" w:rsidRPr="00E213C4">
        <w:rPr>
          <w:rFonts w:eastAsia="Times New Roman"/>
        </w:rPr>
        <w:t>advise and seek to educate all persons required to perform duties under the Governmental Conduct Act of those duties</w:t>
      </w:r>
      <w:r w:rsidR="00E213C4">
        <w:rPr>
          <w:rFonts w:eastAsia="Times New Roman"/>
        </w:rPr>
        <w:t xml:space="preserve">,” persons subject to the Governmental Conduct Act should be permitted to request informal advisory opinions.  </w:t>
      </w:r>
      <w:r w:rsidR="007A3807">
        <w:rPr>
          <w:rFonts w:eastAsia="Times New Roman"/>
        </w:rPr>
        <w:t>These concerns are addressed with the changes described above.</w:t>
      </w:r>
    </w:p>
    <w:p w14:paraId="5B024348" w14:textId="77777777" w:rsidR="007A3807" w:rsidRDefault="007A3807" w:rsidP="00624391">
      <w:pPr>
        <w:ind w:left="720"/>
        <w:rPr>
          <w:rFonts w:eastAsia="Times New Roman"/>
        </w:rPr>
      </w:pPr>
    </w:p>
    <w:p w14:paraId="034AEF16" w14:textId="6CC2D17E" w:rsidR="00CF677E" w:rsidRDefault="00CF677E" w:rsidP="00CF677E">
      <w:pPr>
        <w:rPr>
          <w:rFonts w:eastAsia="Times New Roman"/>
          <w:u w:val="single"/>
        </w:rPr>
      </w:pPr>
    </w:p>
    <w:p w14:paraId="56231B84" w14:textId="77777777" w:rsidR="00CF677E" w:rsidRDefault="00CF677E" w:rsidP="00CF677E">
      <w:pPr>
        <w:jc w:val="both"/>
        <w:rPr>
          <w:rFonts w:eastAsia="Times New Roman"/>
          <w:b/>
          <w:bCs/>
        </w:rPr>
      </w:pPr>
      <w:r w:rsidRPr="2EF57F1C">
        <w:rPr>
          <w:rFonts w:eastAsia="Times New Roman"/>
          <w:b/>
          <w:bCs/>
        </w:rPr>
        <w:t>Section 1.8.1.10</w:t>
      </w:r>
      <w:r>
        <w:rPr>
          <w:rFonts w:eastAsia="Times New Roman"/>
          <w:b/>
          <w:bCs/>
        </w:rPr>
        <w:tab/>
      </w:r>
      <w:r w:rsidRPr="2EF57F1C">
        <w:rPr>
          <w:rFonts w:eastAsia="Times New Roman"/>
          <w:b/>
          <w:bCs/>
        </w:rPr>
        <w:t>INFORMAL ADVISORY OPINIONS</w:t>
      </w:r>
    </w:p>
    <w:p w14:paraId="1BE37D9B" w14:textId="77777777" w:rsidR="00CF677E" w:rsidRDefault="00CF677E" w:rsidP="00CF677E">
      <w:pPr>
        <w:jc w:val="both"/>
        <w:rPr>
          <w:rFonts w:eastAsia="Times New Roman"/>
          <w:b/>
          <w:bCs/>
        </w:rPr>
      </w:pPr>
    </w:p>
    <w:p w14:paraId="0156774F" w14:textId="1D1B2C1F" w:rsidR="00CF677E" w:rsidRDefault="0052364D" w:rsidP="00CF677E">
      <w:pPr>
        <w:jc w:val="both"/>
        <w:rPr>
          <w:rFonts w:eastAsia="Times New Roman"/>
        </w:rPr>
      </w:pPr>
      <w:r>
        <w:rPr>
          <w:rFonts w:eastAsia="Times New Roman"/>
          <w:u w:val="single"/>
        </w:rPr>
        <w:t>1.8.1.10</w:t>
      </w:r>
      <w:r>
        <w:rPr>
          <w:rFonts w:eastAsia="Times New Roman"/>
        </w:rPr>
        <w:t xml:space="preserve">: This section was deleted and merged with </w:t>
      </w:r>
      <w:r w:rsidR="00FC75F3">
        <w:rPr>
          <w:rFonts w:eastAsia="Times New Roman"/>
        </w:rPr>
        <w:t>Section 1.8.1.9, for the reasons set forth above.</w:t>
      </w:r>
    </w:p>
    <w:p w14:paraId="36785689" w14:textId="419CA53A" w:rsidR="00156EEC" w:rsidRDefault="00156EEC" w:rsidP="00CF677E">
      <w:pPr>
        <w:jc w:val="both"/>
        <w:rPr>
          <w:rFonts w:eastAsia="Times New Roman"/>
        </w:rPr>
      </w:pPr>
    </w:p>
    <w:p w14:paraId="317B8BA5" w14:textId="7CB07DDA" w:rsidR="00156EEC" w:rsidRPr="00156EEC" w:rsidRDefault="00156EEC" w:rsidP="00CF677E">
      <w:pPr>
        <w:jc w:val="both"/>
        <w:rPr>
          <w:rFonts w:eastAsia="Times New Roman"/>
        </w:rPr>
      </w:pPr>
      <w:r>
        <w:rPr>
          <w:rFonts w:eastAsia="Times New Roman"/>
        </w:rPr>
        <w:tab/>
      </w:r>
      <w:r>
        <w:rPr>
          <w:rFonts w:eastAsia="Times New Roman"/>
          <w:u w:val="single"/>
        </w:rPr>
        <w:t>Rationale</w:t>
      </w:r>
      <w:r>
        <w:rPr>
          <w:rFonts w:eastAsia="Times New Roman"/>
        </w:rPr>
        <w:t>:  See above.</w:t>
      </w:r>
    </w:p>
    <w:p w14:paraId="6D2BB690" w14:textId="77777777" w:rsidR="00CF677E" w:rsidRDefault="00CF677E" w:rsidP="00CF677E">
      <w:pPr>
        <w:jc w:val="both"/>
        <w:rPr>
          <w:rFonts w:eastAsia="Times New Roman"/>
        </w:rPr>
      </w:pPr>
    </w:p>
    <w:p w14:paraId="5E942456" w14:textId="72E59A82" w:rsidR="00CF677E" w:rsidRDefault="00CF677E" w:rsidP="00CF677E">
      <w:pPr>
        <w:rPr>
          <w:rFonts w:eastAsia="Times New Roman"/>
          <w:b/>
          <w:bCs/>
        </w:rPr>
      </w:pPr>
      <w:r w:rsidRPr="2EF57F1C">
        <w:rPr>
          <w:rFonts w:eastAsia="Times New Roman"/>
          <w:b/>
          <w:bCs/>
        </w:rPr>
        <w:t>Section 1.8.1.16</w:t>
      </w:r>
      <w:r>
        <w:rPr>
          <w:rFonts w:eastAsia="Times New Roman"/>
          <w:b/>
          <w:bCs/>
        </w:rPr>
        <w:tab/>
      </w:r>
      <w:r w:rsidRPr="2EF57F1C">
        <w:rPr>
          <w:rFonts w:eastAsia="Times New Roman"/>
          <w:b/>
          <w:bCs/>
        </w:rPr>
        <w:t>COMMISSION MEETINGS</w:t>
      </w:r>
    </w:p>
    <w:p w14:paraId="7442E1B6" w14:textId="77777777" w:rsidR="00CF677E" w:rsidRDefault="00CF677E" w:rsidP="00CF677E">
      <w:pPr>
        <w:jc w:val="both"/>
        <w:rPr>
          <w:rFonts w:eastAsia="Times New Roman"/>
        </w:rPr>
      </w:pPr>
    </w:p>
    <w:p w14:paraId="44DA0797" w14:textId="1B4BD87D" w:rsidR="00CF677E" w:rsidRDefault="00937DF1" w:rsidP="00CF677E">
      <w:pPr>
        <w:jc w:val="both"/>
        <w:rPr>
          <w:rFonts w:eastAsia="Times New Roman"/>
        </w:rPr>
      </w:pPr>
      <w:r>
        <w:rPr>
          <w:rFonts w:eastAsia="Times New Roman"/>
          <w:u w:val="single"/>
        </w:rPr>
        <w:t>1.8.1.16</w:t>
      </w:r>
      <w:r>
        <w:rPr>
          <w:rFonts w:eastAsia="Times New Roman"/>
        </w:rPr>
        <w:t xml:space="preserve">: This section was revised </w:t>
      </w:r>
      <w:r w:rsidR="00662B6B">
        <w:rPr>
          <w:rFonts w:eastAsia="Times New Roman"/>
        </w:rPr>
        <w:t>to include an introductory statement, to clarify that the format of commission meetings (i.e., in-person, virtual, or telephonic) is determined by this section</w:t>
      </w:r>
      <w:r w:rsidR="00E0367D">
        <w:rPr>
          <w:rFonts w:eastAsia="Times New Roman"/>
        </w:rPr>
        <w:t xml:space="preserve">.  The section was further revised to state that the Commission “should” (as opposed to “shall”) </w:t>
      </w:r>
      <w:r w:rsidR="002219C9">
        <w:rPr>
          <w:rFonts w:eastAsia="Times New Roman"/>
        </w:rPr>
        <w:t>schedule virtual meetings on a platform that allows members of the public to observe and participate</w:t>
      </w:r>
      <w:r w:rsidR="00C74316">
        <w:rPr>
          <w:rFonts w:eastAsia="Times New Roman"/>
        </w:rPr>
        <w:t>.</w:t>
      </w:r>
      <w:r w:rsidR="00F65201">
        <w:rPr>
          <w:rFonts w:eastAsia="Times New Roman"/>
        </w:rPr>
        <w:t xml:space="preserve">  The section was also renumbered as a result of the deletion of Section 1.8.1.10.</w:t>
      </w:r>
    </w:p>
    <w:p w14:paraId="690BC34D" w14:textId="03504994" w:rsidR="00C74316" w:rsidRDefault="00C74316" w:rsidP="00CF677E">
      <w:pPr>
        <w:jc w:val="both"/>
        <w:rPr>
          <w:rFonts w:eastAsia="Times New Roman"/>
        </w:rPr>
      </w:pPr>
    </w:p>
    <w:p w14:paraId="3A2355C2" w14:textId="60E6CB6A" w:rsidR="00C74316" w:rsidRPr="00C74316" w:rsidRDefault="00C74316" w:rsidP="00CF677E">
      <w:pPr>
        <w:jc w:val="both"/>
        <w:rPr>
          <w:rFonts w:eastAsia="Times New Roman"/>
        </w:rPr>
      </w:pPr>
      <w:r>
        <w:rPr>
          <w:rFonts w:eastAsia="Times New Roman"/>
        </w:rPr>
        <w:tab/>
      </w:r>
      <w:r>
        <w:rPr>
          <w:rFonts w:eastAsia="Times New Roman"/>
          <w:u w:val="single"/>
        </w:rPr>
        <w:t>Rationale</w:t>
      </w:r>
      <w:r>
        <w:rPr>
          <w:rFonts w:eastAsia="Times New Roman"/>
        </w:rPr>
        <w:t xml:space="preserve">:  The existing rule did not have a clarifying introductory provision that would assist the reader to understand how the rule governs commission meetings.  </w:t>
      </w:r>
      <w:r w:rsidR="002E5DCC">
        <w:rPr>
          <w:rFonts w:eastAsia="Times New Roman"/>
        </w:rPr>
        <w:t>The existing introductory provision, which contains substantive requirements for the time, place, and duration of meetings, was more sensibly included in a discrete subsection.</w:t>
      </w:r>
      <w:r w:rsidR="00C04236">
        <w:rPr>
          <w:rFonts w:eastAsia="Times New Roman"/>
        </w:rPr>
        <w:t xml:space="preserve">  Additional edits are designed to ensure that this section does not impose requirements on the commission that stricter than the requirements of the Open Meetings Act.</w:t>
      </w:r>
    </w:p>
    <w:p w14:paraId="08EBB8F4" w14:textId="7B620B16" w:rsidR="00CF677E" w:rsidRDefault="00CF677E" w:rsidP="00CF677E">
      <w:pPr>
        <w:rPr>
          <w:rFonts w:eastAsia="Times New Roman"/>
        </w:rPr>
      </w:pPr>
    </w:p>
    <w:p w14:paraId="7B504605" w14:textId="519B37E9" w:rsidR="00CF677E" w:rsidRDefault="00CF677E" w:rsidP="00CF677E">
      <w:pPr>
        <w:rPr>
          <w:rFonts w:eastAsia="Times New Roman"/>
        </w:rPr>
      </w:pPr>
    </w:p>
    <w:p w14:paraId="4ABCB67E" w14:textId="44B1D93D" w:rsidR="00CF677E" w:rsidRDefault="00CF677E" w:rsidP="00CF677E">
      <w:pPr>
        <w:rPr>
          <w:rFonts w:eastAsia="Times New Roman"/>
        </w:rPr>
      </w:pPr>
    </w:p>
    <w:p w14:paraId="75E7CE5A" w14:textId="77777777" w:rsidR="00CF677E" w:rsidRPr="007107FB" w:rsidRDefault="00CF677E" w:rsidP="00CF677E">
      <w:pPr>
        <w:rPr>
          <w:rFonts w:eastAsia="Times New Roman"/>
        </w:rPr>
      </w:pPr>
    </w:p>
    <w:p w14:paraId="11C59969" w14:textId="3787746C" w:rsidR="0083372A" w:rsidRDefault="0083372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br w:type="page"/>
      </w:r>
    </w:p>
    <w:p w14:paraId="628A2461" w14:textId="77777777" w:rsidR="00624391" w:rsidRPr="007107FB" w:rsidRDefault="00624391" w:rsidP="00624391"/>
    <w:p w14:paraId="649B10F2" w14:textId="77777777" w:rsidR="00624391" w:rsidRPr="00FD06EE" w:rsidRDefault="00624391" w:rsidP="00624391">
      <w:pPr>
        <w:pStyle w:val="ListParagraph"/>
        <w:numPr>
          <w:ilvl w:val="0"/>
          <w:numId w:val="2"/>
        </w:numPr>
        <w:spacing w:after="0" w:line="240" w:lineRule="auto"/>
        <w:rPr>
          <w:rFonts w:ascii="Times New Roman" w:eastAsia="Times New Roman" w:hAnsi="Times New Roman" w:cs="Times New Roman"/>
          <w:sz w:val="24"/>
          <w:szCs w:val="24"/>
        </w:rPr>
      </w:pPr>
      <w:r w:rsidRPr="2A86F5BE">
        <w:rPr>
          <w:rFonts w:ascii="Times New Roman" w:eastAsia="Times New Roman" w:hAnsi="Times New Roman" w:cs="Times New Roman"/>
          <w:b/>
          <w:bCs/>
          <w:sz w:val="24"/>
          <w:szCs w:val="24"/>
          <w:u w:val="single"/>
        </w:rPr>
        <w:t>Reasons for not accepting substantive arguments made through written pre-filed public comment</w:t>
      </w:r>
      <w:r w:rsidRPr="2A86F5BE">
        <w:rPr>
          <w:rFonts w:ascii="Times New Roman" w:eastAsia="Times New Roman" w:hAnsi="Times New Roman" w:cs="Times New Roman"/>
          <w:b/>
          <w:bCs/>
          <w:sz w:val="24"/>
          <w:szCs w:val="24"/>
        </w:rPr>
        <w:t>:</w:t>
      </w:r>
    </w:p>
    <w:p w14:paraId="2BE5F429" w14:textId="77777777" w:rsidR="00624391" w:rsidRDefault="00624391" w:rsidP="00624391">
      <w:pPr>
        <w:rPr>
          <w:rFonts w:eastAsia="Times New Roman"/>
        </w:rPr>
      </w:pPr>
    </w:p>
    <w:p w14:paraId="2FD49BC4" w14:textId="7C6FFA25" w:rsidR="00624391" w:rsidRDefault="00624391" w:rsidP="00624391">
      <w:pPr>
        <w:rPr>
          <w:rFonts w:eastAsia="Times New Roman"/>
          <w:b/>
          <w:bCs/>
        </w:rPr>
      </w:pPr>
      <w:r w:rsidRPr="2EF57F1C">
        <w:rPr>
          <w:rFonts w:eastAsia="Times New Roman"/>
          <w:b/>
          <w:bCs/>
        </w:rPr>
        <w:t>Section 1.8.1.1</w:t>
      </w:r>
      <w:r>
        <w:rPr>
          <w:rFonts w:eastAsia="Times New Roman"/>
          <w:b/>
          <w:bCs/>
        </w:rPr>
        <w:tab/>
      </w:r>
      <w:r w:rsidRPr="2EF57F1C">
        <w:rPr>
          <w:rFonts w:eastAsia="Times New Roman"/>
          <w:b/>
          <w:bCs/>
        </w:rPr>
        <w:t>ISSUING AGENCY</w:t>
      </w:r>
    </w:p>
    <w:p w14:paraId="6EF909E6" w14:textId="77777777" w:rsidR="00624391" w:rsidRDefault="00624391" w:rsidP="00624391">
      <w:pPr>
        <w:rPr>
          <w:rFonts w:eastAsia="Times New Roman"/>
        </w:rPr>
      </w:pPr>
    </w:p>
    <w:p w14:paraId="0A688400" w14:textId="62FDAE12" w:rsidR="00624391" w:rsidRDefault="00624391" w:rsidP="00624391">
      <w:pPr>
        <w:rPr>
          <w:rFonts w:eastAsia="Times New Roman"/>
        </w:rPr>
      </w:pPr>
      <w:r w:rsidRPr="2EF57F1C">
        <w:rPr>
          <w:rFonts w:eastAsia="Times New Roman"/>
        </w:rPr>
        <w:t>No comments received.</w:t>
      </w:r>
    </w:p>
    <w:p w14:paraId="390BC992" w14:textId="77777777" w:rsidR="00624391" w:rsidRDefault="00624391" w:rsidP="00624391">
      <w:pPr>
        <w:rPr>
          <w:rFonts w:eastAsia="Times New Roman"/>
        </w:rPr>
      </w:pPr>
    </w:p>
    <w:p w14:paraId="669CA6A6" w14:textId="6EDC5ACB" w:rsidR="00624391" w:rsidRDefault="00624391" w:rsidP="00624391">
      <w:pPr>
        <w:rPr>
          <w:rFonts w:eastAsia="Times New Roman"/>
          <w:b/>
          <w:bCs/>
        </w:rPr>
      </w:pPr>
      <w:r w:rsidRPr="2EF57F1C">
        <w:rPr>
          <w:rFonts w:eastAsia="Times New Roman"/>
          <w:b/>
          <w:bCs/>
        </w:rPr>
        <w:t>Section 1.8.1.3</w:t>
      </w:r>
      <w:r>
        <w:rPr>
          <w:rFonts w:eastAsia="Times New Roman"/>
          <w:b/>
          <w:bCs/>
        </w:rPr>
        <w:tab/>
      </w:r>
      <w:r w:rsidRPr="2EF57F1C">
        <w:rPr>
          <w:rFonts w:eastAsia="Times New Roman"/>
          <w:b/>
          <w:bCs/>
        </w:rPr>
        <w:t>STATUTORY AUTHORITY</w:t>
      </w:r>
    </w:p>
    <w:p w14:paraId="14587D8A" w14:textId="77777777" w:rsidR="00624391" w:rsidRDefault="00624391" w:rsidP="00624391">
      <w:pPr>
        <w:rPr>
          <w:rFonts w:eastAsia="Times New Roman"/>
        </w:rPr>
      </w:pPr>
    </w:p>
    <w:p w14:paraId="22B2266B" w14:textId="21D4E2F6" w:rsidR="00624391" w:rsidRDefault="00624391" w:rsidP="00624391">
      <w:pPr>
        <w:rPr>
          <w:rFonts w:eastAsia="Times New Roman"/>
        </w:rPr>
      </w:pPr>
      <w:r w:rsidRPr="2EF57F1C">
        <w:rPr>
          <w:rFonts w:eastAsia="Times New Roman"/>
        </w:rPr>
        <w:t>No comments received.</w:t>
      </w:r>
    </w:p>
    <w:p w14:paraId="7F13CA4F" w14:textId="77777777" w:rsidR="00624391" w:rsidRDefault="00624391" w:rsidP="00624391">
      <w:pPr>
        <w:rPr>
          <w:rFonts w:eastAsia="Times New Roman"/>
        </w:rPr>
      </w:pPr>
    </w:p>
    <w:p w14:paraId="277890DE" w14:textId="1694199B" w:rsidR="00624391" w:rsidRDefault="00624391" w:rsidP="00624391">
      <w:pPr>
        <w:rPr>
          <w:rFonts w:eastAsia="Times New Roman"/>
          <w:b/>
          <w:bCs/>
        </w:rPr>
      </w:pPr>
      <w:r w:rsidRPr="2EF57F1C">
        <w:rPr>
          <w:rFonts w:eastAsia="Times New Roman"/>
          <w:b/>
          <w:bCs/>
        </w:rPr>
        <w:t>Section 1.8.1.9</w:t>
      </w:r>
      <w:r>
        <w:rPr>
          <w:rFonts w:eastAsia="Times New Roman"/>
          <w:b/>
          <w:bCs/>
        </w:rPr>
        <w:tab/>
      </w:r>
      <w:r w:rsidRPr="2EF57F1C">
        <w:rPr>
          <w:rFonts w:eastAsia="Times New Roman"/>
          <w:b/>
          <w:bCs/>
        </w:rPr>
        <w:t>ADVISORY OPINIONS</w:t>
      </w:r>
    </w:p>
    <w:p w14:paraId="3C14E2B2" w14:textId="77777777" w:rsidR="00624391" w:rsidRDefault="00624391" w:rsidP="00624391">
      <w:pPr>
        <w:rPr>
          <w:rFonts w:eastAsia="Times New Roman"/>
        </w:rPr>
      </w:pPr>
    </w:p>
    <w:p w14:paraId="575A5EC0" w14:textId="0849A6BA" w:rsidR="00624391" w:rsidRDefault="00624391" w:rsidP="00624391">
      <w:pPr>
        <w:rPr>
          <w:rFonts w:eastAsia="Times New Roman"/>
        </w:rPr>
      </w:pPr>
      <w:r w:rsidRPr="2EF57F1C">
        <w:rPr>
          <w:rFonts w:eastAsia="Times New Roman"/>
          <w:u w:val="single"/>
        </w:rPr>
        <w:t>1.8.1.9(A)(1)</w:t>
      </w:r>
      <w:r w:rsidRPr="2EF57F1C">
        <w:rPr>
          <w:rFonts w:eastAsia="Times New Roman"/>
        </w:rPr>
        <w:t>: New Mexico Ethics Watch argued that “the list of who can request an advisory opinion be expanded to include members of the public.”  New Mexico Ethics Coalition similarly argued to “expand the list of those who can request advisory opinions to members of the public.”</w:t>
      </w:r>
    </w:p>
    <w:p w14:paraId="0C8DDBCE" w14:textId="77777777" w:rsidR="00624391" w:rsidRDefault="00624391" w:rsidP="00624391">
      <w:pPr>
        <w:rPr>
          <w:rFonts w:eastAsia="Times New Roman"/>
        </w:rPr>
      </w:pPr>
    </w:p>
    <w:p w14:paraId="40F1DE3E" w14:textId="39362416" w:rsidR="00624391" w:rsidRDefault="00624391" w:rsidP="00624391">
      <w:pPr>
        <w:ind w:left="720"/>
        <w:rPr>
          <w:rFonts w:eastAsia="Times New Roman"/>
        </w:rPr>
      </w:pPr>
      <w:r w:rsidRPr="2EF57F1C">
        <w:rPr>
          <w:rFonts w:eastAsia="Times New Roman"/>
          <w:u w:val="single"/>
        </w:rPr>
        <w:t>Rationale</w:t>
      </w:r>
      <w:r w:rsidRPr="2EF57F1C">
        <w:rPr>
          <w:rFonts w:eastAsia="Times New Roman"/>
        </w:rPr>
        <w:t xml:space="preserve">:  This comment is declined because its adoption would conflict with statute—specifically, NMSA 1978, Section 10-16G-8(A)(1).  </w:t>
      </w:r>
      <w:r w:rsidRPr="2EF57F1C">
        <w:rPr>
          <w:rFonts w:eastAsia="Times New Roman"/>
          <w:i/>
          <w:iCs/>
        </w:rPr>
        <w:t xml:space="preserve">See </w:t>
      </w:r>
      <w:r w:rsidRPr="2EF57F1C">
        <w:rPr>
          <w:rFonts w:eastAsia="Times New Roman"/>
        </w:rPr>
        <w:t>NMSA 1978, § 14-4-5.7 (“No rule is valid or enforceable if it conflicts with statute.  A conflict between a rule and a statute is resolved in favor of the statute.”).</w:t>
      </w:r>
    </w:p>
    <w:p w14:paraId="6D1326F2" w14:textId="77777777" w:rsidR="00624391" w:rsidRDefault="00624391" w:rsidP="00624391">
      <w:pPr>
        <w:ind w:left="720"/>
        <w:rPr>
          <w:rFonts w:eastAsia="Times New Roman"/>
        </w:rPr>
      </w:pPr>
    </w:p>
    <w:p w14:paraId="19E7B8FB" w14:textId="12CA12A5" w:rsidR="00624391" w:rsidRDefault="00624391" w:rsidP="00624391">
      <w:pPr>
        <w:rPr>
          <w:rFonts w:eastAsia="Times New Roman"/>
        </w:rPr>
      </w:pPr>
      <w:r w:rsidRPr="2EF57F1C">
        <w:rPr>
          <w:rFonts w:eastAsia="Times New Roman"/>
          <w:u w:val="single"/>
        </w:rPr>
        <w:t>1.8.1.9(A)</w:t>
      </w:r>
      <w:r w:rsidRPr="2EF57F1C">
        <w:rPr>
          <w:rFonts w:eastAsia="Times New Roman"/>
        </w:rPr>
        <w:t>:  New Mexico Ethics Watch argued for “the listing of criteria for when an advisory opinion is to be issued, in order to create an objective basis for the issuance of an advisory opinion.”  New Mexico Ethics Coalition similarly argued that the Commission should provide “clear decision rules or criteria for when an advisory opinion is warranted . . . [to] provide a public reference and avoid the perception that decisions to review in an advisory way are arbitrary or subjective.”</w:t>
      </w:r>
    </w:p>
    <w:p w14:paraId="6D39F9D0" w14:textId="77777777" w:rsidR="00624391" w:rsidRDefault="00624391" w:rsidP="00624391">
      <w:pPr>
        <w:rPr>
          <w:rFonts w:eastAsia="Times New Roman"/>
        </w:rPr>
      </w:pPr>
    </w:p>
    <w:p w14:paraId="69B04175" w14:textId="5861563B" w:rsidR="00624391" w:rsidRDefault="00624391" w:rsidP="00624391">
      <w:pPr>
        <w:ind w:left="720"/>
        <w:rPr>
          <w:rFonts w:eastAsia="Times New Roman"/>
        </w:rPr>
      </w:pPr>
      <w:r w:rsidRPr="2EF57F1C">
        <w:rPr>
          <w:rFonts w:eastAsia="Times New Roman"/>
          <w:u w:val="single"/>
        </w:rPr>
        <w:t>Rationale</w:t>
      </w:r>
      <w:r w:rsidRPr="2EF57F1C">
        <w:rPr>
          <w:rFonts w:eastAsia="Times New Roman"/>
        </w:rPr>
        <w:t xml:space="preserve">:  This comment is declined because the State Ethics Commission currently issues advisory opinions response to every valid request.  Should the Commission cease </w:t>
      </w:r>
      <w:proofErr w:type="gramStart"/>
      <w:r w:rsidRPr="2EF57F1C">
        <w:rPr>
          <w:rFonts w:eastAsia="Times New Roman"/>
        </w:rPr>
        <w:t>issuing</w:t>
      </w:r>
      <w:proofErr w:type="gramEnd"/>
      <w:r w:rsidRPr="2EF57F1C">
        <w:rPr>
          <w:rFonts w:eastAsia="Times New Roman"/>
        </w:rPr>
        <w:t xml:space="preserve"> advisory opinions in response to every valid request, at that point, sound and publicly-available decision criteria are advisable for the aforementioned reasons.</w:t>
      </w:r>
    </w:p>
    <w:p w14:paraId="2935F93D" w14:textId="16A770E7" w:rsidR="00E65C8B" w:rsidRDefault="00E65C8B" w:rsidP="00624391">
      <w:pPr>
        <w:ind w:left="720"/>
        <w:rPr>
          <w:rFonts w:eastAsia="Times New Roman"/>
        </w:rPr>
      </w:pPr>
    </w:p>
    <w:p w14:paraId="1DAE46C4" w14:textId="77777777" w:rsidR="00E65C8B" w:rsidRDefault="00E65C8B" w:rsidP="00E65C8B">
      <w:pPr>
        <w:rPr>
          <w:rFonts w:eastAsia="Times New Roman"/>
        </w:rPr>
      </w:pPr>
      <w:r>
        <w:rPr>
          <w:rFonts w:eastAsia="Times New Roman"/>
          <w:u w:val="single"/>
        </w:rPr>
        <w:t>1.8.9(A)</w:t>
      </w:r>
      <w:r>
        <w:rPr>
          <w:rFonts w:eastAsia="Times New Roman"/>
        </w:rPr>
        <w:t xml:space="preserve">:  </w:t>
      </w:r>
      <w:r w:rsidRPr="2EF57F1C">
        <w:rPr>
          <w:rFonts w:eastAsia="Times New Roman"/>
        </w:rPr>
        <w:t xml:space="preserve">New Mexico Ethics Coalition argued for a rule that creates “a cap on the length of time it will take for an advisory opinion to be issued.  60 days is reasonable by delays with a 30-day notice should not extend beyond 4 months.”  </w:t>
      </w:r>
    </w:p>
    <w:p w14:paraId="6A9879A1" w14:textId="77777777" w:rsidR="00E65C8B" w:rsidRDefault="00E65C8B" w:rsidP="00E65C8B">
      <w:pPr>
        <w:rPr>
          <w:rFonts w:eastAsia="Times New Roman"/>
        </w:rPr>
      </w:pPr>
    </w:p>
    <w:p w14:paraId="30A31C4B" w14:textId="2D1FFBF6" w:rsidR="00E65C8B" w:rsidRDefault="00E65C8B" w:rsidP="00E65C8B">
      <w:pPr>
        <w:ind w:left="720" w:hanging="720"/>
        <w:rPr>
          <w:rFonts w:eastAsia="Times New Roman"/>
        </w:rPr>
      </w:pPr>
      <w:r>
        <w:rPr>
          <w:rFonts w:eastAsia="Times New Roman"/>
        </w:rPr>
        <w:tab/>
      </w:r>
      <w:r w:rsidRPr="00E65C8B">
        <w:rPr>
          <w:rFonts w:eastAsia="Times New Roman"/>
          <w:u w:val="single"/>
        </w:rPr>
        <w:t>Rationale</w:t>
      </w:r>
      <w:r>
        <w:rPr>
          <w:rFonts w:eastAsia="Times New Roman"/>
        </w:rPr>
        <w:t>:  T</w:t>
      </w:r>
      <w:r>
        <w:rPr>
          <w:rFonts w:eastAsia="Times New Roman"/>
        </w:rPr>
        <w:t xml:space="preserve">he Commission believes that the suggested limitation restricts the Commission’s discretion </w:t>
      </w:r>
      <w:r>
        <w:rPr>
          <w:rFonts w:eastAsia="Times New Roman"/>
        </w:rPr>
        <w:t>in a manner</w:t>
      </w:r>
      <w:r>
        <w:rPr>
          <w:rFonts w:eastAsia="Times New Roman"/>
        </w:rPr>
        <w:t xml:space="preserve"> not required by the State Ethics Commission Act</w:t>
      </w:r>
      <w:r>
        <w:rPr>
          <w:rFonts w:eastAsia="Times New Roman"/>
        </w:rPr>
        <w:t>.  Further, in certain instances the Commission may need to delay issuance of an advisory opinion beyond four months (for example, if the Commission lacks staff resources to write an opinion)</w:t>
      </w:r>
      <w:bookmarkStart w:id="3" w:name="_GoBack"/>
      <w:bookmarkEnd w:id="3"/>
      <w:r>
        <w:rPr>
          <w:rFonts w:eastAsia="Times New Roman"/>
        </w:rPr>
        <w:t xml:space="preserve">.  </w:t>
      </w:r>
    </w:p>
    <w:p w14:paraId="5CA40B89" w14:textId="77777777" w:rsidR="00624391" w:rsidRDefault="00624391" w:rsidP="00624391">
      <w:pPr>
        <w:ind w:left="720"/>
        <w:rPr>
          <w:rFonts w:eastAsia="Times New Roman"/>
        </w:rPr>
      </w:pPr>
    </w:p>
    <w:p w14:paraId="29CC2243" w14:textId="1C5B6EEC" w:rsidR="00624391" w:rsidRDefault="00624391" w:rsidP="00624391">
      <w:pPr>
        <w:rPr>
          <w:rFonts w:eastAsia="Times New Roman"/>
        </w:rPr>
      </w:pPr>
      <w:r w:rsidRPr="2EF57F1C">
        <w:rPr>
          <w:rFonts w:eastAsia="Times New Roman"/>
          <w:u w:val="single"/>
        </w:rPr>
        <w:lastRenderedPageBreak/>
        <w:t>1.8.1.9(B)</w:t>
      </w:r>
      <w:r w:rsidRPr="2EF57F1C">
        <w:rPr>
          <w:rFonts w:eastAsia="Times New Roman"/>
        </w:rPr>
        <w:t>:  New Mexico Ethics Coalition argued for a rule that provides additional clarification “why requests for advisory opinions are confidential and how each party benefits from this confidentiality.”</w:t>
      </w:r>
    </w:p>
    <w:p w14:paraId="7ABB19A4" w14:textId="77777777" w:rsidR="00624391" w:rsidRDefault="00624391" w:rsidP="00624391">
      <w:pPr>
        <w:rPr>
          <w:rFonts w:eastAsia="Times New Roman"/>
        </w:rPr>
      </w:pPr>
    </w:p>
    <w:p w14:paraId="174B2861" w14:textId="76D39479" w:rsidR="00624391" w:rsidRDefault="00624391" w:rsidP="00624391">
      <w:pPr>
        <w:ind w:left="720"/>
        <w:rPr>
          <w:rFonts w:eastAsia="Times New Roman"/>
        </w:rPr>
      </w:pPr>
      <w:r w:rsidRPr="2EF57F1C">
        <w:rPr>
          <w:rFonts w:eastAsia="Times New Roman"/>
          <w:u w:val="single"/>
        </w:rPr>
        <w:t>Rationale</w:t>
      </w:r>
      <w:r w:rsidRPr="2EF57F1C">
        <w:rPr>
          <w:rFonts w:eastAsia="Times New Roman"/>
        </w:rPr>
        <w:t>: This comment is declined because, at NMSA 1978, Section 10-16G-8(B), the Legislature requires that “[a] request for an advisory opinion shall be confidential and not subject to the provisions of the Inspection of Public Records Act</w:t>
      </w:r>
      <w:r w:rsidRPr="00E65C8B">
        <w:rPr>
          <w:rFonts w:eastAsia="Times New Roman"/>
        </w:rPr>
        <w:t xml:space="preserve">.”  </w:t>
      </w:r>
      <w:r w:rsidRPr="00E65C8B">
        <w:rPr>
          <w:rFonts w:eastAsia="Times New Roman"/>
          <w:i/>
          <w:iCs/>
        </w:rPr>
        <w:t>See generally</w:t>
      </w:r>
      <w:r w:rsidRPr="00E65C8B">
        <w:rPr>
          <w:rFonts w:eastAsia="Times New Roman"/>
        </w:rPr>
        <w:t xml:space="preserve"> </w:t>
      </w:r>
      <w:r w:rsidRPr="00E65C8B">
        <w:rPr>
          <w:rFonts w:eastAsia="Calibri"/>
        </w:rPr>
        <w:t>§ 14-4-5.7 (“No rule is valid or enforceable if it conflicts with statute.  A conflict between a rule and a statute is resolved in favor of the statute.”).</w:t>
      </w:r>
      <w:r w:rsidRPr="00E65C8B">
        <w:rPr>
          <w:rFonts w:eastAsia="Times New Roman"/>
        </w:rPr>
        <w:t xml:space="preserve">  </w:t>
      </w:r>
      <w:r w:rsidRPr="2EF57F1C">
        <w:rPr>
          <w:rFonts w:eastAsia="Times New Roman"/>
        </w:rPr>
        <w:t xml:space="preserve">The Commission does not know the reasons why the Legislature as a corporate entity, or </w:t>
      </w:r>
      <w:proofErr w:type="gramStart"/>
      <w:r w:rsidRPr="2EF57F1C">
        <w:rPr>
          <w:rFonts w:eastAsia="Times New Roman"/>
        </w:rPr>
        <w:t>particular legislators</w:t>
      </w:r>
      <w:proofErr w:type="gramEnd"/>
      <w:r w:rsidRPr="2EF57F1C">
        <w:rPr>
          <w:rFonts w:eastAsia="Times New Roman"/>
        </w:rPr>
        <w:t>, voted in favor of this statutory provision.</w:t>
      </w:r>
    </w:p>
    <w:p w14:paraId="2DF3D560" w14:textId="77777777" w:rsidR="00624391" w:rsidRDefault="00624391" w:rsidP="00624391">
      <w:pPr>
        <w:ind w:left="720"/>
        <w:rPr>
          <w:rFonts w:eastAsia="Times New Roman"/>
        </w:rPr>
      </w:pPr>
    </w:p>
    <w:p w14:paraId="3958C204" w14:textId="4AA70C86" w:rsidR="00624391" w:rsidRDefault="00624391" w:rsidP="00624391">
      <w:pPr>
        <w:rPr>
          <w:rFonts w:eastAsia="Times New Roman"/>
          <w:b/>
          <w:bCs/>
        </w:rPr>
      </w:pPr>
      <w:r w:rsidRPr="2EF57F1C">
        <w:rPr>
          <w:rFonts w:eastAsia="Times New Roman"/>
          <w:b/>
          <w:bCs/>
        </w:rPr>
        <w:t>Section 1.8.1.10</w:t>
      </w:r>
      <w:r>
        <w:rPr>
          <w:rFonts w:eastAsia="Times New Roman"/>
          <w:b/>
          <w:bCs/>
        </w:rPr>
        <w:tab/>
      </w:r>
      <w:r w:rsidRPr="2EF57F1C">
        <w:rPr>
          <w:rFonts w:eastAsia="Times New Roman"/>
          <w:b/>
          <w:bCs/>
        </w:rPr>
        <w:t>INFORMAL ADVISORY OPINIONS</w:t>
      </w:r>
    </w:p>
    <w:p w14:paraId="033DC06E" w14:textId="77777777" w:rsidR="00624391" w:rsidRDefault="00624391" w:rsidP="00624391">
      <w:pPr>
        <w:rPr>
          <w:rFonts w:eastAsia="Times New Roman"/>
        </w:rPr>
      </w:pPr>
    </w:p>
    <w:p w14:paraId="1D17F6CF" w14:textId="730BFF05" w:rsidR="00624391" w:rsidRDefault="00624391" w:rsidP="00624391">
      <w:pPr>
        <w:rPr>
          <w:rFonts w:eastAsia="Times New Roman"/>
        </w:rPr>
      </w:pPr>
      <w:r w:rsidRPr="2EF57F1C">
        <w:rPr>
          <w:rFonts w:eastAsia="Times New Roman"/>
          <w:u w:val="single"/>
        </w:rPr>
        <w:t>1.8.1.10(A)</w:t>
      </w:r>
      <w:r w:rsidRPr="2EF57F1C">
        <w:rPr>
          <w:rFonts w:eastAsia="Times New Roman"/>
        </w:rPr>
        <w:t>:  New Mexico Ethics Watch argued that members of the public should be able to request an informal advisory opinion, either through a hotline or through whatever channels are currently being employed by Commission staff.  New Mexico Ethics Coalition also makes this argument.</w:t>
      </w:r>
    </w:p>
    <w:p w14:paraId="2E435277" w14:textId="77777777" w:rsidR="00624391" w:rsidRDefault="00624391" w:rsidP="00624391">
      <w:pPr>
        <w:rPr>
          <w:rFonts w:eastAsia="Times New Roman"/>
        </w:rPr>
      </w:pPr>
    </w:p>
    <w:p w14:paraId="3B64377F" w14:textId="67BF5C25" w:rsidR="00624391" w:rsidRDefault="00624391" w:rsidP="00624391">
      <w:pPr>
        <w:ind w:left="720"/>
        <w:rPr>
          <w:rFonts w:ascii="Calibri" w:eastAsia="Calibri" w:hAnsi="Calibri" w:cs="Calibri"/>
        </w:rPr>
      </w:pPr>
      <w:r w:rsidRPr="2EF57F1C">
        <w:rPr>
          <w:rFonts w:eastAsia="Times New Roman"/>
          <w:u w:val="single"/>
        </w:rPr>
        <w:t>Rationale</w:t>
      </w:r>
      <w:r w:rsidRPr="2EF57F1C">
        <w:rPr>
          <w:rFonts w:eastAsia="Times New Roman"/>
        </w:rPr>
        <w:t xml:space="preserve">: This comment is declined because its adoption might conflict with NMSA 1978, Section 10-16G-8(A)(1).  The proposed rule would provide a way to circumvent the Legislature’s limit on who may request advisory opinions of the State Ethics Commission.  The Commission declines to promulgate the proposed rule to avoid a conflict between the Commission’s rules and the State Ethics Commission Act.  </w:t>
      </w:r>
      <w:r w:rsidRPr="2EF57F1C">
        <w:rPr>
          <w:rFonts w:eastAsia="Times New Roman"/>
          <w:i/>
          <w:iCs/>
        </w:rPr>
        <w:t>See</w:t>
      </w:r>
      <w:r w:rsidRPr="2EF57F1C">
        <w:rPr>
          <w:rFonts w:ascii="Calibri" w:eastAsia="Calibri" w:hAnsi="Calibri" w:cs="Calibri"/>
        </w:rPr>
        <w:t xml:space="preserve"> § 14-4-5.7.</w:t>
      </w:r>
    </w:p>
    <w:p w14:paraId="333EEB22" w14:textId="77777777" w:rsidR="00624391" w:rsidRDefault="00624391" w:rsidP="00624391">
      <w:pPr>
        <w:ind w:left="720"/>
        <w:rPr>
          <w:rFonts w:ascii="Calibri" w:eastAsia="Calibri" w:hAnsi="Calibri" w:cs="Calibri"/>
        </w:rPr>
      </w:pPr>
    </w:p>
    <w:p w14:paraId="0EB1C3E1" w14:textId="0FCF3C37" w:rsidR="00624391" w:rsidRDefault="00624391" w:rsidP="00624391">
      <w:pPr>
        <w:rPr>
          <w:rFonts w:eastAsia="Times New Roman"/>
        </w:rPr>
      </w:pPr>
      <w:r w:rsidRPr="2EF57F1C">
        <w:rPr>
          <w:rFonts w:eastAsia="Times New Roman"/>
          <w:u w:val="single"/>
        </w:rPr>
        <w:t>1.8.1.10(A)</w:t>
      </w:r>
      <w:r w:rsidRPr="2EF57F1C">
        <w:rPr>
          <w:rFonts w:eastAsia="Times New Roman"/>
        </w:rPr>
        <w:t>: New Mexico Ethics Watch argued for “the listing of criteria for when an advisory opinion is to be issued, in order to create an objective basis for the issuance of an advisory opinion.”  New Mexico Ethics Coalition similarly argued that the Commission should provide “clear decision rules or criteria for when an advisory opinion is warranted . . . [to] provide a public reference and avoid the perception that decisions to review in an advisory way are arbitrary or subjective.”</w:t>
      </w:r>
    </w:p>
    <w:p w14:paraId="1C45BAB0" w14:textId="77777777" w:rsidR="00624391" w:rsidRDefault="00624391" w:rsidP="00624391">
      <w:pPr>
        <w:rPr>
          <w:rFonts w:eastAsia="Times New Roman"/>
        </w:rPr>
      </w:pPr>
    </w:p>
    <w:p w14:paraId="54B43FD1" w14:textId="3A17A7F6" w:rsidR="00624391" w:rsidRDefault="00624391" w:rsidP="00624391">
      <w:pPr>
        <w:ind w:left="720"/>
        <w:rPr>
          <w:rFonts w:eastAsia="Times New Roman"/>
        </w:rPr>
      </w:pPr>
      <w:r w:rsidRPr="2EF57F1C">
        <w:rPr>
          <w:rFonts w:eastAsia="Times New Roman"/>
          <w:u w:val="single"/>
        </w:rPr>
        <w:t>Rationale</w:t>
      </w:r>
      <w:r w:rsidRPr="2EF57F1C">
        <w:rPr>
          <w:rFonts w:eastAsia="Times New Roman"/>
        </w:rPr>
        <w:t xml:space="preserve">:  This comment is declined because the State Ethics Commission currently issues advisory opinions response to every valid request.  Should the Commission cease </w:t>
      </w:r>
      <w:proofErr w:type="gramStart"/>
      <w:r w:rsidRPr="2EF57F1C">
        <w:rPr>
          <w:rFonts w:eastAsia="Times New Roman"/>
        </w:rPr>
        <w:t>issuing</w:t>
      </w:r>
      <w:proofErr w:type="gramEnd"/>
      <w:r w:rsidRPr="2EF57F1C">
        <w:rPr>
          <w:rFonts w:eastAsia="Times New Roman"/>
        </w:rPr>
        <w:t xml:space="preserve"> advisory opinions in response to every valid request, at that point, sound and publicly-available decision criteria are advisable for the aforementioned reasons.</w:t>
      </w:r>
    </w:p>
    <w:p w14:paraId="389360C9" w14:textId="77777777" w:rsidR="00624391" w:rsidRDefault="00624391" w:rsidP="00624391">
      <w:pPr>
        <w:ind w:left="720"/>
        <w:rPr>
          <w:rFonts w:eastAsia="Times New Roman"/>
        </w:rPr>
      </w:pPr>
    </w:p>
    <w:p w14:paraId="22010DCB" w14:textId="059859E2" w:rsidR="00624391" w:rsidRDefault="00624391" w:rsidP="00624391">
      <w:pPr>
        <w:rPr>
          <w:rFonts w:eastAsia="Times New Roman"/>
          <w:b/>
          <w:bCs/>
        </w:rPr>
      </w:pPr>
      <w:r w:rsidRPr="2EF57F1C">
        <w:rPr>
          <w:rFonts w:eastAsia="Times New Roman"/>
          <w:b/>
          <w:bCs/>
        </w:rPr>
        <w:t>Section 1.8.1.14</w:t>
      </w:r>
      <w:r>
        <w:rPr>
          <w:rFonts w:eastAsia="Times New Roman"/>
          <w:b/>
          <w:bCs/>
        </w:rPr>
        <w:tab/>
      </w:r>
      <w:r w:rsidRPr="2EF57F1C">
        <w:rPr>
          <w:rFonts w:eastAsia="Times New Roman"/>
          <w:b/>
          <w:bCs/>
        </w:rPr>
        <w:t>ADDRESS FOR FILING DOCUMENTS</w:t>
      </w:r>
    </w:p>
    <w:p w14:paraId="305EED91" w14:textId="77777777" w:rsidR="00624391" w:rsidRDefault="00624391" w:rsidP="00624391">
      <w:pPr>
        <w:rPr>
          <w:rFonts w:eastAsia="Times New Roman"/>
        </w:rPr>
      </w:pPr>
    </w:p>
    <w:p w14:paraId="1D7AE88F" w14:textId="44CC9AC8" w:rsidR="00624391" w:rsidRDefault="00624391" w:rsidP="00624391">
      <w:pPr>
        <w:rPr>
          <w:rFonts w:eastAsia="Times New Roman"/>
        </w:rPr>
      </w:pPr>
      <w:r w:rsidRPr="2EF57F1C">
        <w:rPr>
          <w:rFonts w:eastAsia="Times New Roman"/>
        </w:rPr>
        <w:t>No public comments received.</w:t>
      </w:r>
    </w:p>
    <w:p w14:paraId="785AD2F4" w14:textId="77777777" w:rsidR="00624391" w:rsidRDefault="00624391" w:rsidP="00624391">
      <w:pPr>
        <w:rPr>
          <w:rFonts w:eastAsia="Times New Roman"/>
        </w:rPr>
      </w:pPr>
    </w:p>
    <w:p w14:paraId="0F387830" w14:textId="07799675" w:rsidR="00624391" w:rsidRDefault="00624391" w:rsidP="00624391">
      <w:pPr>
        <w:rPr>
          <w:rFonts w:eastAsia="Times New Roman"/>
          <w:b/>
          <w:bCs/>
        </w:rPr>
      </w:pPr>
      <w:r w:rsidRPr="2EF57F1C">
        <w:rPr>
          <w:rFonts w:eastAsia="Times New Roman"/>
          <w:b/>
          <w:bCs/>
        </w:rPr>
        <w:t>Section 1.8.1.16</w:t>
      </w:r>
      <w:r>
        <w:rPr>
          <w:rFonts w:eastAsia="Times New Roman"/>
          <w:b/>
          <w:bCs/>
        </w:rPr>
        <w:tab/>
      </w:r>
      <w:r w:rsidRPr="2EF57F1C">
        <w:rPr>
          <w:rFonts w:eastAsia="Times New Roman"/>
          <w:b/>
          <w:bCs/>
        </w:rPr>
        <w:t>COMMISSION MEETINGS</w:t>
      </w:r>
    </w:p>
    <w:p w14:paraId="11016C91" w14:textId="77777777" w:rsidR="00624391" w:rsidRDefault="00624391" w:rsidP="00624391">
      <w:pPr>
        <w:rPr>
          <w:rFonts w:eastAsia="Times New Roman"/>
        </w:rPr>
      </w:pPr>
    </w:p>
    <w:p w14:paraId="046792CC" w14:textId="7EAEA115" w:rsidR="00624391" w:rsidRDefault="00624391" w:rsidP="00624391">
      <w:pPr>
        <w:rPr>
          <w:rFonts w:eastAsia="Times New Roman"/>
        </w:rPr>
      </w:pPr>
      <w:r w:rsidRPr="2EF57F1C">
        <w:rPr>
          <w:rFonts w:eastAsia="Times New Roman"/>
          <w:u w:val="single"/>
        </w:rPr>
        <w:lastRenderedPageBreak/>
        <w:t>1.8.1.16(C)</w:t>
      </w:r>
      <w:r w:rsidRPr="2EF57F1C">
        <w:rPr>
          <w:rFonts w:eastAsia="Times New Roman"/>
        </w:rPr>
        <w:t>:  New Mexico Ethics Watch argued that the rule should specifically allow virtual attendance by members of the public even when the Commission meets in person.  New Mexico Ethics Coalition also makes this argument.</w:t>
      </w:r>
    </w:p>
    <w:p w14:paraId="0C669B7E" w14:textId="77777777" w:rsidR="00624391" w:rsidRDefault="00624391" w:rsidP="00624391">
      <w:pPr>
        <w:rPr>
          <w:rFonts w:eastAsia="Times New Roman"/>
        </w:rPr>
      </w:pPr>
    </w:p>
    <w:p w14:paraId="147748EB" w14:textId="5767E3CC" w:rsidR="00624391" w:rsidRDefault="00624391" w:rsidP="00624391">
      <w:pPr>
        <w:ind w:left="720"/>
        <w:rPr>
          <w:rFonts w:eastAsia="Times New Roman"/>
        </w:rPr>
      </w:pPr>
      <w:r w:rsidRPr="2EF57F1C">
        <w:rPr>
          <w:rFonts w:eastAsia="Times New Roman"/>
          <w:u w:val="single"/>
        </w:rPr>
        <w:t>Rationale</w:t>
      </w:r>
      <w:r w:rsidRPr="2EF57F1C">
        <w:rPr>
          <w:rFonts w:eastAsia="Times New Roman"/>
        </w:rPr>
        <w:t>:  While the Commission will make every effort to facilitate attendance by members of the public at every Commission meeting, the Commission declines to adopt the suggestion as a rule binding on the Commission at this time.  There are several reasons: First, as in the past, the Commission might hold future in-person meetings in venues around New Mexico, and Commission staff might not have adequate control of the venue’s internet and AV capabilities to ensure compliance with the rule in each instance.  Second, the Commission has not yet gained experience with conducting a simultaneous in-person and virtual meeting.  Third, the Commission currently lacks the technology that would enable live broadcasting in-person meetings in a way that allows for contemporaneous public participation; however, the Commission is researching such technology.  For these reasons, while the Commission intends to pursue this suggestion, it declines to promulgate it as a rule.</w:t>
      </w:r>
    </w:p>
    <w:p w14:paraId="479AFDB3" w14:textId="77777777" w:rsidR="00624391" w:rsidRDefault="00624391" w:rsidP="00624391">
      <w:pPr>
        <w:ind w:left="720"/>
        <w:rPr>
          <w:rFonts w:eastAsia="Times New Roman"/>
        </w:rPr>
      </w:pPr>
    </w:p>
    <w:p w14:paraId="3F352AAD" w14:textId="200387C8" w:rsidR="00624391" w:rsidRDefault="00624391" w:rsidP="00624391">
      <w:pPr>
        <w:rPr>
          <w:rFonts w:eastAsia="Times New Roman"/>
        </w:rPr>
      </w:pPr>
      <w:r w:rsidRPr="2EF57F1C">
        <w:rPr>
          <w:rFonts w:eastAsia="Times New Roman"/>
          <w:u w:val="single"/>
        </w:rPr>
        <w:t>1.8.1.16(C)</w:t>
      </w:r>
      <w:r w:rsidRPr="2EF57F1C">
        <w:rPr>
          <w:rFonts w:eastAsia="Times New Roman"/>
        </w:rPr>
        <w:t>:  New Mexico Ethics Coalition argues that the Commission should make meetings available on YouTube for viewing later.</w:t>
      </w:r>
    </w:p>
    <w:p w14:paraId="427CCFA2" w14:textId="77777777" w:rsidR="00624391" w:rsidRDefault="00624391" w:rsidP="00624391">
      <w:pPr>
        <w:rPr>
          <w:rFonts w:eastAsia="Times New Roman"/>
        </w:rPr>
      </w:pPr>
    </w:p>
    <w:p w14:paraId="75B2F760" w14:textId="22DC5623" w:rsidR="00624391" w:rsidRDefault="00624391" w:rsidP="00624391">
      <w:pPr>
        <w:ind w:left="720"/>
        <w:rPr>
          <w:rFonts w:eastAsia="Times New Roman"/>
        </w:rPr>
      </w:pPr>
      <w:r w:rsidRPr="2EF57F1C">
        <w:rPr>
          <w:rFonts w:eastAsia="Times New Roman"/>
          <w:u w:val="single"/>
        </w:rPr>
        <w:t>Rationale</w:t>
      </w:r>
      <w:r w:rsidRPr="2EF57F1C">
        <w:rPr>
          <w:rFonts w:eastAsia="Times New Roman"/>
        </w:rPr>
        <w:t xml:space="preserve">:  The Commission currently makes video recordings of meetings available on </w:t>
      </w:r>
      <w:r w:rsidR="00037EE2">
        <w:rPr>
          <w:rFonts w:eastAsia="Times New Roman"/>
        </w:rPr>
        <w:t>its website</w:t>
      </w:r>
      <w:r w:rsidRPr="2EF57F1C">
        <w:rPr>
          <w:rFonts w:eastAsia="Times New Roman"/>
        </w:rPr>
        <w:t xml:space="preserve">.  </w:t>
      </w:r>
      <w:r w:rsidRPr="2EF57F1C">
        <w:rPr>
          <w:rFonts w:eastAsia="Times New Roman"/>
          <w:i/>
          <w:iCs/>
        </w:rPr>
        <w:t>See</w:t>
      </w:r>
      <w:r w:rsidRPr="2EF57F1C">
        <w:rPr>
          <w:rFonts w:eastAsia="Times New Roman"/>
        </w:rPr>
        <w:t xml:space="preserve"> </w:t>
      </w:r>
      <w:hyperlink r:id="rId10">
        <w:r w:rsidRPr="2EF57F1C">
          <w:rPr>
            <w:rStyle w:val="Hyperlink"/>
            <w:rFonts w:eastAsia="Times New Roman"/>
            <w:color w:val="0563C1"/>
          </w:rPr>
          <w:t>www.sec.state.nm.us/transparency/</w:t>
        </w:r>
      </w:hyperlink>
      <w:r w:rsidRPr="2EF57F1C">
        <w:rPr>
          <w:rFonts w:eastAsia="Times New Roman"/>
        </w:rPr>
        <w:t>.  The Commission declines to codify this practice as a rule.</w:t>
      </w:r>
    </w:p>
    <w:p w14:paraId="4543B2D1" w14:textId="77777777" w:rsidR="00624391" w:rsidRDefault="00624391" w:rsidP="00624391">
      <w:pPr>
        <w:ind w:left="720"/>
        <w:rPr>
          <w:rFonts w:eastAsia="Times New Roman"/>
        </w:rPr>
      </w:pPr>
    </w:p>
    <w:p w14:paraId="6DC9177B" w14:textId="512FD191" w:rsidR="00624391" w:rsidRDefault="00624391" w:rsidP="00624391">
      <w:pPr>
        <w:rPr>
          <w:rFonts w:eastAsia="Times New Roman"/>
        </w:rPr>
      </w:pPr>
      <w:r w:rsidRPr="2EF57F1C">
        <w:rPr>
          <w:rFonts w:eastAsia="Times New Roman"/>
        </w:rPr>
        <w:t xml:space="preserve">1.8.1.16(D): New Mexico Ethics Coalition argues that the Commission should have clear guidelines to “avoid the perception that limits are set arbitrarily or with the intent to stifle civic engagement.  </w:t>
      </w:r>
      <w:proofErr w:type="gramStart"/>
      <w:r w:rsidRPr="2EF57F1C">
        <w:rPr>
          <w:rFonts w:eastAsia="Times New Roman"/>
        </w:rPr>
        <w:t>Specifically</w:t>
      </w:r>
      <w:proofErr w:type="gramEnd"/>
      <w:r w:rsidRPr="2EF57F1C">
        <w:rPr>
          <w:rFonts w:eastAsia="Times New Roman"/>
        </w:rPr>
        <w:t xml:space="preserve"> how time limits will be determined would be useful.”</w:t>
      </w:r>
    </w:p>
    <w:p w14:paraId="3287991E" w14:textId="77777777" w:rsidR="00624391" w:rsidRDefault="00624391" w:rsidP="00624391">
      <w:pPr>
        <w:rPr>
          <w:rFonts w:eastAsia="Times New Roman"/>
        </w:rPr>
      </w:pPr>
    </w:p>
    <w:p w14:paraId="5696C264" w14:textId="77777777" w:rsidR="00624391" w:rsidRDefault="00624391" w:rsidP="00624391">
      <w:pPr>
        <w:ind w:left="720"/>
        <w:rPr>
          <w:rFonts w:eastAsia="Times New Roman"/>
        </w:rPr>
      </w:pPr>
      <w:r w:rsidRPr="2EF57F1C">
        <w:rPr>
          <w:rFonts w:eastAsia="Times New Roman"/>
          <w:u w:val="single"/>
        </w:rPr>
        <w:t>Rationale</w:t>
      </w:r>
      <w:r w:rsidRPr="2EF57F1C">
        <w:rPr>
          <w:rFonts w:eastAsia="Times New Roman"/>
        </w:rPr>
        <w:t xml:space="preserve">: The rule codifies the Commission Chair’s authority to run Commission meetings in a fair and efficient manner.  As New Mexico Ethics Coalition notes in its pre-filed public comment, “[t]he Commission has done an excellent job of planning in-person and virtual meetings to allow for public comment.”  </w:t>
      </w:r>
      <w:proofErr w:type="gramStart"/>
      <w:r w:rsidRPr="2EF57F1C">
        <w:rPr>
          <w:rFonts w:eastAsia="Times New Roman"/>
        </w:rPr>
        <w:t>In light of</w:t>
      </w:r>
      <w:proofErr w:type="gramEnd"/>
      <w:r w:rsidRPr="2EF57F1C">
        <w:rPr>
          <w:rFonts w:eastAsia="Times New Roman"/>
        </w:rPr>
        <w:t xml:space="preserve"> the Chair’s current handling and accommodation of public participation and public comment, the Commission declines to adopt the proposed rule as unnecessary at this time.</w:t>
      </w:r>
    </w:p>
    <w:p w14:paraId="70AC6824" w14:textId="77777777" w:rsidR="00624391" w:rsidRDefault="00624391" w:rsidP="00624391">
      <w:pPr>
        <w:rPr>
          <w:rFonts w:eastAsia="Times New Roman"/>
        </w:rPr>
      </w:pPr>
    </w:p>
    <w:p w14:paraId="212429E9" w14:textId="77777777" w:rsidR="00624391" w:rsidRDefault="00624391" w:rsidP="00624391">
      <w:pPr>
        <w:jc w:val="both"/>
        <w:rPr>
          <w:rFonts w:eastAsia="Times New Roman"/>
        </w:rPr>
      </w:pPr>
    </w:p>
    <w:p w14:paraId="03689ACD" w14:textId="77777777" w:rsidR="00624391" w:rsidRDefault="00624391" w:rsidP="00624391"/>
    <w:p w14:paraId="53A87311" w14:textId="5F076511" w:rsidR="005D3C03" w:rsidRDefault="005D3C03" w:rsidP="00624391"/>
    <w:bookmarkEnd w:id="0"/>
    <w:bookmarkEnd w:id="1"/>
    <w:p w14:paraId="373718B5" w14:textId="77777777" w:rsidR="005D3C03" w:rsidRDefault="005D3C03" w:rsidP="00684922">
      <w:pPr>
        <w:pStyle w:val="Heading2"/>
        <w:numPr>
          <w:ilvl w:val="0"/>
          <w:numId w:val="0"/>
        </w:numPr>
      </w:pPr>
    </w:p>
    <w:sectPr w:rsidR="005D3C03" w:rsidSect="00551033">
      <w:footerReference w:type="default" r:id="rId11"/>
      <w:headerReference w:type="first" r:id="rId12"/>
      <w:pgSz w:w="12240" w:h="15840"/>
      <w:pgMar w:top="1440" w:right="1440" w:bottom="1440" w:left="1440" w:header="720" w:footer="86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E804A" w14:textId="77777777" w:rsidR="006C29BF" w:rsidRDefault="006C29BF">
      <w:r>
        <w:separator/>
      </w:r>
    </w:p>
  </w:endnote>
  <w:endnote w:type="continuationSeparator" w:id="0">
    <w:p w14:paraId="775ED572" w14:textId="77777777" w:rsidR="006C29BF" w:rsidRDefault="006C29BF">
      <w:r>
        <w:continuationSeparator/>
      </w:r>
    </w:p>
  </w:endnote>
  <w:endnote w:type="continuationNotice" w:id="1">
    <w:p w14:paraId="14003BE9" w14:textId="77777777" w:rsidR="006C29BF" w:rsidRDefault="006C2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Montserrat Regular">
    <w:altName w:val="Cambria"/>
    <w:charset w:val="00"/>
    <w:family w:val="roman"/>
    <w:pitch w:val="default"/>
  </w:font>
  <w:font w:name="Helvetica Neue">
    <w:altName w:val="Sylfaen"/>
    <w:charset w:val="00"/>
    <w:family w:val="auto"/>
    <w:pitch w:val="variable"/>
    <w:sig w:usb0="00000003" w:usb1="500079DB" w:usb2="0000001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Montserrat Bold">
    <w:altName w:val="Courier New"/>
    <w:charset w:val="4D"/>
    <w:family w:val="auto"/>
    <w:pitch w:val="variable"/>
    <w:sig w:usb0="00000001" w:usb1="00000003" w:usb2="00000000" w:usb3="00000000" w:csb0="00000197"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8107069"/>
      <w:docPartObj>
        <w:docPartGallery w:val="Page Numbers (Bottom of Page)"/>
        <w:docPartUnique/>
      </w:docPartObj>
    </w:sdtPr>
    <w:sdtEndPr>
      <w:rPr>
        <w:noProof/>
      </w:rPr>
    </w:sdtEndPr>
    <w:sdtContent>
      <w:p w14:paraId="6912536A" w14:textId="77777777" w:rsidR="00551033" w:rsidRDefault="00816F8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F170643" w14:textId="77777777" w:rsidR="00551033" w:rsidRDefault="005510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A20ED" w14:textId="77777777" w:rsidR="006C29BF" w:rsidRDefault="006C29BF">
      <w:r>
        <w:separator/>
      </w:r>
    </w:p>
  </w:footnote>
  <w:footnote w:type="continuationSeparator" w:id="0">
    <w:p w14:paraId="6BE64B43" w14:textId="77777777" w:rsidR="006C29BF" w:rsidRDefault="006C29BF">
      <w:r>
        <w:continuationSeparator/>
      </w:r>
    </w:p>
  </w:footnote>
  <w:footnote w:type="continuationNotice" w:id="1">
    <w:p w14:paraId="0D5AABA2" w14:textId="77777777" w:rsidR="006C29BF" w:rsidRDefault="006C29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983CE" w14:textId="77777777" w:rsidR="00551033" w:rsidRDefault="00816F8C" w:rsidP="00551033">
    <w:pPr>
      <w:pStyle w:val="Header"/>
      <w:jc w:val="center"/>
    </w:pPr>
    <w:r>
      <w:rPr>
        <w:noProof/>
      </w:rPr>
      <w:drawing>
        <wp:inline distT="0" distB="0" distL="0" distR="0" wp14:anchorId="648180DF" wp14:editId="5739C7B2">
          <wp:extent cx="1398905" cy="1389380"/>
          <wp:effectExtent l="0" t="0" r="0" b="1270"/>
          <wp:docPr id="1" name="Picture 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8905" cy="1389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72826"/>
    <w:multiLevelType w:val="hybridMultilevel"/>
    <w:tmpl w:val="D6B68252"/>
    <w:lvl w:ilvl="0" w:tplc="E550D184">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F11626"/>
    <w:multiLevelType w:val="hybridMultilevel"/>
    <w:tmpl w:val="FAD8FCFA"/>
    <w:lvl w:ilvl="0" w:tplc="A880A578">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F8C"/>
    <w:rsid w:val="00013376"/>
    <w:rsid w:val="00013F11"/>
    <w:rsid w:val="00026290"/>
    <w:rsid w:val="00030DFA"/>
    <w:rsid w:val="000352B6"/>
    <w:rsid w:val="00037EE2"/>
    <w:rsid w:val="00040F0C"/>
    <w:rsid w:val="00042E30"/>
    <w:rsid w:val="00061F42"/>
    <w:rsid w:val="00064EAD"/>
    <w:rsid w:val="000712B3"/>
    <w:rsid w:val="000776FC"/>
    <w:rsid w:val="000819C5"/>
    <w:rsid w:val="000834FC"/>
    <w:rsid w:val="00087979"/>
    <w:rsid w:val="00094C12"/>
    <w:rsid w:val="00097CBB"/>
    <w:rsid w:val="000A1904"/>
    <w:rsid w:val="000A75BD"/>
    <w:rsid w:val="000B61CC"/>
    <w:rsid w:val="000C5269"/>
    <w:rsid w:val="000D0B59"/>
    <w:rsid w:val="000D5469"/>
    <w:rsid w:val="000D62E7"/>
    <w:rsid w:val="000D63D4"/>
    <w:rsid w:val="000D7B23"/>
    <w:rsid w:val="00100640"/>
    <w:rsid w:val="00110DC0"/>
    <w:rsid w:val="001161A1"/>
    <w:rsid w:val="00121954"/>
    <w:rsid w:val="00134FC9"/>
    <w:rsid w:val="00156EEC"/>
    <w:rsid w:val="0016000E"/>
    <w:rsid w:val="001601C6"/>
    <w:rsid w:val="00160879"/>
    <w:rsid w:val="00160CB8"/>
    <w:rsid w:val="001678B4"/>
    <w:rsid w:val="00176151"/>
    <w:rsid w:val="001803B2"/>
    <w:rsid w:val="00181E86"/>
    <w:rsid w:val="0018384A"/>
    <w:rsid w:val="001B1161"/>
    <w:rsid w:val="001B160C"/>
    <w:rsid w:val="001B697A"/>
    <w:rsid w:val="001C4BD4"/>
    <w:rsid w:val="001C59A3"/>
    <w:rsid w:val="001D2396"/>
    <w:rsid w:val="001D3501"/>
    <w:rsid w:val="001E38D6"/>
    <w:rsid w:val="001F1CAD"/>
    <w:rsid w:val="001F332C"/>
    <w:rsid w:val="001F7E70"/>
    <w:rsid w:val="00200025"/>
    <w:rsid w:val="0020418B"/>
    <w:rsid w:val="00204B02"/>
    <w:rsid w:val="002219C9"/>
    <w:rsid w:val="00235C32"/>
    <w:rsid w:val="00242232"/>
    <w:rsid w:val="0026396A"/>
    <w:rsid w:val="0026615F"/>
    <w:rsid w:val="002803FF"/>
    <w:rsid w:val="002808E7"/>
    <w:rsid w:val="002B5ACC"/>
    <w:rsid w:val="002C172D"/>
    <w:rsid w:val="002D1734"/>
    <w:rsid w:val="002D576F"/>
    <w:rsid w:val="002D77E8"/>
    <w:rsid w:val="002E5A6A"/>
    <w:rsid w:val="002E5DCC"/>
    <w:rsid w:val="002F4D41"/>
    <w:rsid w:val="00310213"/>
    <w:rsid w:val="00343777"/>
    <w:rsid w:val="00344461"/>
    <w:rsid w:val="003514A1"/>
    <w:rsid w:val="0036781E"/>
    <w:rsid w:val="0037048A"/>
    <w:rsid w:val="003856A7"/>
    <w:rsid w:val="003867A8"/>
    <w:rsid w:val="00387751"/>
    <w:rsid w:val="00392B3B"/>
    <w:rsid w:val="003A380C"/>
    <w:rsid w:val="003B25E4"/>
    <w:rsid w:val="003B4154"/>
    <w:rsid w:val="003C0F2A"/>
    <w:rsid w:val="003C1C98"/>
    <w:rsid w:val="003D1897"/>
    <w:rsid w:val="003F21CE"/>
    <w:rsid w:val="004011DD"/>
    <w:rsid w:val="00405936"/>
    <w:rsid w:val="0040766B"/>
    <w:rsid w:val="00407DD9"/>
    <w:rsid w:val="0041445B"/>
    <w:rsid w:val="00415100"/>
    <w:rsid w:val="00435D66"/>
    <w:rsid w:val="00441C3B"/>
    <w:rsid w:val="00447642"/>
    <w:rsid w:val="00447916"/>
    <w:rsid w:val="00467E04"/>
    <w:rsid w:val="00474E91"/>
    <w:rsid w:val="00475E50"/>
    <w:rsid w:val="00476654"/>
    <w:rsid w:val="00477171"/>
    <w:rsid w:val="00493D44"/>
    <w:rsid w:val="00494516"/>
    <w:rsid w:val="004A3678"/>
    <w:rsid w:val="004A554D"/>
    <w:rsid w:val="004A6078"/>
    <w:rsid w:val="004D1AEB"/>
    <w:rsid w:val="004E489F"/>
    <w:rsid w:val="004F3946"/>
    <w:rsid w:val="004F5B97"/>
    <w:rsid w:val="005008ED"/>
    <w:rsid w:val="005020E0"/>
    <w:rsid w:val="005032FA"/>
    <w:rsid w:val="00511D51"/>
    <w:rsid w:val="005201FE"/>
    <w:rsid w:val="0052364D"/>
    <w:rsid w:val="00527C28"/>
    <w:rsid w:val="0053159E"/>
    <w:rsid w:val="00544BA4"/>
    <w:rsid w:val="00551033"/>
    <w:rsid w:val="00563476"/>
    <w:rsid w:val="005754A5"/>
    <w:rsid w:val="0057613F"/>
    <w:rsid w:val="005864FB"/>
    <w:rsid w:val="005930FB"/>
    <w:rsid w:val="00593CA0"/>
    <w:rsid w:val="0059552D"/>
    <w:rsid w:val="0059696C"/>
    <w:rsid w:val="005A0A4C"/>
    <w:rsid w:val="005B0DFC"/>
    <w:rsid w:val="005B1517"/>
    <w:rsid w:val="005D3C03"/>
    <w:rsid w:val="005D4FC4"/>
    <w:rsid w:val="005E010C"/>
    <w:rsid w:val="005F2761"/>
    <w:rsid w:val="005F3BCE"/>
    <w:rsid w:val="005F51FE"/>
    <w:rsid w:val="00602130"/>
    <w:rsid w:val="00621057"/>
    <w:rsid w:val="00622C25"/>
    <w:rsid w:val="00624391"/>
    <w:rsid w:val="006277F9"/>
    <w:rsid w:val="00662B6B"/>
    <w:rsid w:val="00663D1B"/>
    <w:rsid w:val="00672838"/>
    <w:rsid w:val="00682803"/>
    <w:rsid w:val="006832E5"/>
    <w:rsid w:val="00684922"/>
    <w:rsid w:val="0068592F"/>
    <w:rsid w:val="00693816"/>
    <w:rsid w:val="00694A95"/>
    <w:rsid w:val="006A169A"/>
    <w:rsid w:val="006A218D"/>
    <w:rsid w:val="006B017C"/>
    <w:rsid w:val="006B11F6"/>
    <w:rsid w:val="006B415E"/>
    <w:rsid w:val="006B6D75"/>
    <w:rsid w:val="006C29BF"/>
    <w:rsid w:val="006E4B5A"/>
    <w:rsid w:val="006F4B0A"/>
    <w:rsid w:val="006F7629"/>
    <w:rsid w:val="007019D8"/>
    <w:rsid w:val="007303DF"/>
    <w:rsid w:val="00740C9B"/>
    <w:rsid w:val="0074369B"/>
    <w:rsid w:val="00750567"/>
    <w:rsid w:val="00750B3A"/>
    <w:rsid w:val="007511E6"/>
    <w:rsid w:val="00756928"/>
    <w:rsid w:val="007773D6"/>
    <w:rsid w:val="00796EBA"/>
    <w:rsid w:val="007A08EF"/>
    <w:rsid w:val="007A3807"/>
    <w:rsid w:val="007B000C"/>
    <w:rsid w:val="007B1F36"/>
    <w:rsid w:val="007B3D4E"/>
    <w:rsid w:val="007C0866"/>
    <w:rsid w:val="007D2804"/>
    <w:rsid w:val="007D4FEE"/>
    <w:rsid w:val="007E39D4"/>
    <w:rsid w:val="007E7C0D"/>
    <w:rsid w:val="007F381A"/>
    <w:rsid w:val="00802BDF"/>
    <w:rsid w:val="008052B3"/>
    <w:rsid w:val="008117E4"/>
    <w:rsid w:val="0081493D"/>
    <w:rsid w:val="00815233"/>
    <w:rsid w:val="00816F8C"/>
    <w:rsid w:val="00817C1A"/>
    <w:rsid w:val="00827570"/>
    <w:rsid w:val="0083372A"/>
    <w:rsid w:val="0084375F"/>
    <w:rsid w:val="0085356B"/>
    <w:rsid w:val="008848CF"/>
    <w:rsid w:val="008A2B17"/>
    <w:rsid w:val="008A52DE"/>
    <w:rsid w:val="008B0A5B"/>
    <w:rsid w:val="008B17C0"/>
    <w:rsid w:val="008B6E80"/>
    <w:rsid w:val="008C7859"/>
    <w:rsid w:val="008E2164"/>
    <w:rsid w:val="008E3077"/>
    <w:rsid w:val="009015BD"/>
    <w:rsid w:val="00903310"/>
    <w:rsid w:val="00903C61"/>
    <w:rsid w:val="009078AB"/>
    <w:rsid w:val="00913A55"/>
    <w:rsid w:val="0091513E"/>
    <w:rsid w:val="00916475"/>
    <w:rsid w:val="0092328E"/>
    <w:rsid w:val="0093576B"/>
    <w:rsid w:val="00937DF1"/>
    <w:rsid w:val="00940BCD"/>
    <w:rsid w:val="00947561"/>
    <w:rsid w:val="00952E67"/>
    <w:rsid w:val="00954BFE"/>
    <w:rsid w:val="00957701"/>
    <w:rsid w:val="009726EF"/>
    <w:rsid w:val="00977B93"/>
    <w:rsid w:val="009901A8"/>
    <w:rsid w:val="00996555"/>
    <w:rsid w:val="009A375F"/>
    <w:rsid w:val="009A547B"/>
    <w:rsid w:val="009A75BF"/>
    <w:rsid w:val="009B3775"/>
    <w:rsid w:val="009C1998"/>
    <w:rsid w:val="009C1B70"/>
    <w:rsid w:val="009D497F"/>
    <w:rsid w:val="009E5CF0"/>
    <w:rsid w:val="009E735D"/>
    <w:rsid w:val="00A0722E"/>
    <w:rsid w:val="00A265DF"/>
    <w:rsid w:val="00A303F0"/>
    <w:rsid w:val="00A3236B"/>
    <w:rsid w:val="00A3489B"/>
    <w:rsid w:val="00A359B6"/>
    <w:rsid w:val="00A40C98"/>
    <w:rsid w:val="00A4446C"/>
    <w:rsid w:val="00A46F6F"/>
    <w:rsid w:val="00A541F1"/>
    <w:rsid w:val="00A7605B"/>
    <w:rsid w:val="00A869EE"/>
    <w:rsid w:val="00A9109E"/>
    <w:rsid w:val="00AB4E71"/>
    <w:rsid w:val="00AB704C"/>
    <w:rsid w:val="00AC1355"/>
    <w:rsid w:val="00AC2CE4"/>
    <w:rsid w:val="00AC68B7"/>
    <w:rsid w:val="00AD7CAB"/>
    <w:rsid w:val="00AE2F81"/>
    <w:rsid w:val="00AE32C1"/>
    <w:rsid w:val="00AE3908"/>
    <w:rsid w:val="00AF2517"/>
    <w:rsid w:val="00B31E47"/>
    <w:rsid w:val="00B469E1"/>
    <w:rsid w:val="00B475ED"/>
    <w:rsid w:val="00B5157F"/>
    <w:rsid w:val="00B5742D"/>
    <w:rsid w:val="00B664FB"/>
    <w:rsid w:val="00B715AC"/>
    <w:rsid w:val="00B77E4E"/>
    <w:rsid w:val="00B874E1"/>
    <w:rsid w:val="00B90A81"/>
    <w:rsid w:val="00B93B5E"/>
    <w:rsid w:val="00BA7ACB"/>
    <w:rsid w:val="00BE5976"/>
    <w:rsid w:val="00BE7FA5"/>
    <w:rsid w:val="00C04236"/>
    <w:rsid w:val="00C068B2"/>
    <w:rsid w:val="00C2362A"/>
    <w:rsid w:val="00C34756"/>
    <w:rsid w:val="00C46714"/>
    <w:rsid w:val="00C56C64"/>
    <w:rsid w:val="00C576C4"/>
    <w:rsid w:val="00C64FAE"/>
    <w:rsid w:val="00C67B6C"/>
    <w:rsid w:val="00C740CF"/>
    <w:rsid w:val="00C74316"/>
    <w:rsid w:val="00C81567"/>
    <w:rsid w:val="00C850B3"/>
    <w:rsid w:val="00C9724E"/>
    <w:rsid w:val="00CA77F7"/>
    <w:rsid w:val="00CD1468"/>
    <w:rsid w:val="00CF677E"/>
    <w:rsid w:val="00D02809"/>
    <w:rsid w:val="00D031DD"/>
    <w:rsid w:val="00D04A65"/>
    <w:rsid w:val="00D07A93"/>
    <w:rsid w:val="00D135B3"/>
    <w:rsid w:val="00D13DB7"/>
    <w:rsid w:val="00D35CC3"/>
    <w:rsid w:val="00D36BD9"/>
    <w:rsid w:val="00D4102C"/>
    <w:rsid w:val="00D55545"/>
    <w:rsid w:val="00D57499"/>
    <w:rsid w:val="00D813A1"/>
    <w:rsid w:val="00D87B4F"/>
    <w:rsid w:val="00D93614"/>
    <w:rsid w:val="00D93AE4"/>
    <w:rsid w:val="00DC6E7E"/>
    <w:rsid w:val="00E0367D"/>
    <w:rsid w:val="00E213C4"/>
    <w:rsid w:val="00E30EA1"/>
    <w:rsid w:val="00E31D73"/>
    <w:rsid w:val="00E47FFC"/>
    <w:rsid w:val="00E56B7F"/>
    <w:rsid w:val="00E609E2"/>
    <w:rsid w:val="00E60D78"/>
    <w:rsid w:val="00E65348"/>
    <w:rsid w:val="00E65C8B"/>
    <w:rsid w:val="00E70661"/>
    <w:rsid w:val="00E72D9B"/>
    <w:rsid w:val="00E7670D"/>
    <w:rsid w:val="00E878CD"/>
    <w:rsid w:val="00EB02E9"/>
    <w:rsid w:val="00EB3A2A"/>
    <w:rsid w:val="00ED39A1"/>
    <w:rsid w:val="00ED711A"/>
    <w:rsid w:val="00EE0A90"/>
    <w:rsid w:val="00EE78C3"/>
    <w:rsid w:val="00EF2070"/>
    <w:rsid w:val="00EF4905"/>
    <w:rsid w:val="00F022DD"/>
    <w:rsid w:val="00F1055C"/>
    <w:rsid w:val="00F117BD"/>
    <w:rsid w:val="00F120B7"/>
    <w:rsid w:val="00F14989"/>
    <w:rsid w:val="00F16BE3"/>
    <w:rsid w:val="00F41694"/>
    <w:rsid w:val="00F47979"/>
    <w:rsid w:val="00F50017"/>
    <w:rsid w:val="00F53EF0"/>
    <w:rsid w:val="00F55BAC"/>
    <w:rsid w:val="00F65201"/>
    <w:rsid w:val="00F7356D"/>
    <w:rsid w:val="00F8381E"/>
    <w:rsid w:val="00FB2F01"/>
    <w:rsid w:val="00FB6609"/>
    <w:rsid w:val="00FB6822"/>
    <w:rsid w:val="00FC75F3"/>
    <w:rsid w:val="00FD587F"/>
    <w:rsid w:val="00FD6710"/>
    <w:rsid w:val="00FE613C"/>
    <w:rsid w:val="00FE76E4"/>
    <w:rsid w:val="05345815"/>
    <w:rsid w:val="0D75FEFE"/>
    <w:rsid w:val="11BF540D"/>
    <w:rsid w:val="141A2948"/>
    <w:rsid w:val="14368852"/>
    <w:rsid w:val="17896222"/>
    <w:rsid w:val="18BF5BA4"/>
    <w:rsid w:val="1A1CC9A5"/>
    <w:rsid w:val="1A5B94AC"/>
    <w:rsid w:val="1E19CFDE"/>
    <w:rsid w:val="2266952A"/>
    <w:rsid w:val="29B6AF76"/>
    <w:rsid w:val="2A86F5BE"/>
    <w:rsid w:val="2A8DD5A4"/>
    <w:rsid w:val="30F5840A"/>
    <w:rsid w:val="32DFAEEB"/>
    <w:rsid w:val="44E7C0F3"/>
    <w:rsid w:val="455B48DC"/>
    <w:rsid w:val="484C5F37"/>
    <w:rsid w:val="4A68017F"/>
    <w:rsid w:val="4B644F82"/>
    <w:rsid w:val="4C934DE0"/>
    <w:rsid w:val="52F31F99"/>
    <w:rsid w:val="5C30C107"/>
    <w:rsid w:val="614D43B6"/>
    <w:rsid w:val="6EBB094E"/>
    <w:rsid w:val="777DF8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EEBF4"/>
  <w15:chartTrackingRefBased/>
  <w15:docId w15:val="{58665A2B-97EF-4FC7-B08E-6C051E365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8C"/>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Heading2">
    <w:name w:val="heading 2"/>
    <w:basedOn w:val="Normal"/>
    <w:next w:val="Normal"/>
    <w:link w:val="Heading2Char"/>
    <w:uiPriority w:val="9"/>
    <w:unhideWhenUsed/>
    <w:qFormat/>
    <w:rsid w:val="00816F8C"/>
    <w:pPr>
      <w:keepNext/>
      <w:keepLines/>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40" w:after="240"/>
      <w:ind w:hanging="720"/>
      <w:outlineLvl w:val="1"/>
    </w:pPr>
    <w:rPr>
      <w:rFonts w:eastAsiaTheme="majorEastAsia"/>
      <w:b/>
      <w:sz w:val="28"/>
      <w:szCs w:val="28"/>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59552D"/>
    <w:rPr>
      <w:rFonts w:eastAsiaTheme="majorEastAsia" w:cstheme="majorBidi"/>
      <w:szCs w:val="20"/>
    </w:rPr>
  </w:style>
  <w:style w:type="paragraph" w:styleId="EnvelopeAddress">
    <w:name w:val="envelope address"/>
    <w:basedOn w:val="Normal"/>
    <w:uiPriority w:val="99"/>
    <w:semiHidden/>
    <w:unhideWhenUsed/>
    <w:rsid w:val="0059552D"/>
    <w:pPr>
      <w:framePr w:w="7920" w:h="1980" w:hRule="exact" w:hSpace="180" w:wrap="auto" w:hAnchor="page" w:xAlign="center" w:yAlign="bottom"/>
      <w:ind w:left="2880"/>
    </w:pPr>
    <w:rPr>
      <w:rFonts w:eastAsiaTheme="majorEastAsia" w:cstheme="majorBidi"/>
      <w:sz w:val="28"/>
    </w:rPr>
  </w:style>
  <w:style w:type="character" w:customStyle="1" w:styleId="Heading2Char">
    <w:name w:val="Heading 2 Char"/>
    <w:basedOn w:val="DefaultParagraphFont"/>
    <w:link w:val="Heading2"/>
    <w:uiPriority w:val="9"/>
    <w:rsid w:val="00816F8C"/>
    <w:rPr>
      <w:rFonts w:ascii="Times New Roman" w:eastAsiaTheme="majorEastAsia" w:hAnsi="Times New Roman" w:cs="Times New Roman"/>
      <w:b/>
      <w:sz w:val="28"/>
      <w:szCs w:val="28"/>
    </w:rPr>
  </w:style>
  <w:style w:type="character" w:styleId="Hyperlink">
    <w:name w:val="Hyperlink"/>
    <w:rsid w:val="00816F8C"/>
    <w:rPr>
      <w:u w:val="single"/>
    </w:rPr>
  </w:style>
  <w:style w:type="paragraph" w:customStyle="1" w:styleId="Body">
    <w:name w:val="Body"/>
    <w:rsid w:val="00816F8C"/>
    <w:pPr>
      <w:pBdr>
        <w:top w:val="nil"/>
        <w:left w:val="nil"/>
        <w:bottom w:val="nil"/>
        <w:right w:val="nil"/>
        <w:between w:val="nil"/>
        <w:bar w:val="nil"/>
      </w:pBdr>
      <w:spacing w:after="0" w:line="240" w:lineRule="auto"/>
    </w:pPr>
    <w:rPr>
      <w:rFonts w:ascii="Montserrat Regular" w:eastAsia="Arial Unicode MS" w:hAnsi="Montserrat Regular" w:cs="Arial Unicode MS"/>
      <w:color w:val="000000"/>
      <w:bdr w:val="nil"/>
      <w14:textOutline w14:w="0" w14:cap="flat" w14:cmpd="sng" w14:algn="ctr">
        <w14:noFill/>
        <w14:prstDash w14:val="solid"/>
        <w14:bevel/>
      </w14:textOutline>
    </w:rPr>
  </w:style>
  <w:style w:type="paragraph" w:customStyle="1" w:styleId="HeaderFooter">
    <w:name w:val="Header &amp; Footer"/>
    <w:rsid w:val="00816F8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eader">
    <w:name w:val="header"/>
    <w:basedOn w:val="Normal"/>
    <w:link w:val="HeaderChar"/>
    <w:uiPriority w:val="99"/>
    <w:unhideWhenUsed/>
    <w:rsid w:val="00816F8C"/>
    <w:pPr>
      <w:tabs>
        <w:tab w:val="center" w:pos="4680"/>
        <w:tab w:val="right" w:pos="9360"/>
      </w:tabs>
    </w:pPr>
  </w:style>
  <w:style w:type="character" w:customStyle="1" w:styleId="HeaderChar">
    <w:name w:val="Header Char"/>
    <w:basedOn w:val="DefaultParagraphFont"/>
    <w:link w:val="Header"/>
    <w:uiPriority w:val="99"/>
    <w:rsid w:val="00816F8C"/>
    <w:rPr>
      <w:rFonts w:ascii="Times New Roman" w:eastAsia="Arial Unicode MS" w:hAnsi="Times New Roman" w:cs="Times New Roman"/>
      <w:sz w:val="24"/>
      <w:szCs w:val="24"/>
      <w:bdr w:val="nil"/>
    </w:rPr>
  </w:style>
  <w:style w:type="paragraph" w:styleId="Footer">
    <w:name w:val="footer"/>
    <w:basedOn w:val="Normal"/>
    <w:link w:val="FooterChar"/>
    <w:uiPriority w:val="99"/>
    <w:unhideWhenUsed/>
    <w:rsid w:val="00816F8C"/>
    <w:pPr>
      <w:tabs>
        <w:tab w:val="center" w:pos="4680"/>
        <w:tab w:val="right" w:pos="9360"/>
      </w:tabs>
    </w:pPr>
  </w:style>
  <w:style w:type="character" w:customStyle="1" w:styleId="FooterChar">
    <w:name w:val="Footer Char"/>
    <w:basedOn w:val="DefaultParagraphFont"/>
    <w:link w:val="Footer"/>
    <w:uiPriority w:val="99"/>
    <w:rsid w:val="00816F8C"/>
    <w:rPr>
      <w:rFonts w:ascii="Times New Roman" w:eastAsia="Arial Unicode MS" w:hAnsi="Times New Roman" w:cs="Times New Roman"/>
      <w:sz w:val="24"/>
      <w:szCs w:val="24"/>
      <w:bdr w:val="nil"/>
    </w:rPr>
  </w:style>
  <w:style w:type="character" w:styleId="UnresolvedMention">
    <w:name w:val="Unresolved Mention"/>
    <w:basedOn w:val="DefaultParagraphFont"/>
    <w:uiPriority w:val="99"/>
    <w:semiHidden/>
    <w:unhideWhenUsed/>
    <w:rsid w:val="00816F8C"/>
    <w:rPr>
      <w:color w:val="605E5C"/>
      <w:shd w:val="clear" w:color="auto" w:fill="E1DFDD"/>
    </w:rPr>
  </w:style>
  <w:style w:type="paragraph" w:styleId="BalloonText">
    <w:name w:val="Balloon Text"/>
    <w:basedOn w:val="Normal"/>
    <w:link w:val="BalloonTextChar"/>
    <w:uiPriority w:val="99"/>
    <w:semiHidden/>
    <w:unhideWhenUsed/>
    <w:rsid w:val="006210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057"/>
    <w:rPr>
      <w:rFonts w:ascii="Segoe UI" w:eastAsia="Arial Unicode MS" w:hAnsi="Segoe UI" w:cs="Segoe UI"/>
      <w:sz w:val="18"/>
      <w:szCs w:val="18"/>
      <w:bdr w:val="nil"/>
    </w:rPr>
  </w:style>
  <w:style w:type="character" w:customStyle="1" w:styleId="normaltextrun">
    <w:name w:val="normaltextrun"/>
    <w:basedOn w:val="DefaultParagraphFont"/>
    <w:rsid w:val="007B000C"/>
  </w:style>
  <w:style w:type="character" w:customStyle="1" w:styleId="eop">
    <w:name w:val="eop"/>
    <w:basedOn w:val="DefaultParagraphFont"/>
    <w:rsid w:val="007B000C"/>
  </w:style>
  <w:style w:type="paragraph" w:styleId="FootnoteText">
    <w:name w:val="footnote text"/>
    <w:basedOn w:val="Normal"/>
    <w:link w:val="FootnoteTextChar"/>
    <w:uiPriority w:val="99"/>
    <w:unhideWhenUsed/>
    <w:rsid w:val="00C576C4"/>
    <w:rPr>
      <w:sz w:val="20"/>
      <w:szCs w:val="20"/>
    </w:rPr>
  </w:style>
  <w:style w:type="character" w:customStyle="1" w:styleId="FootnoteTextChar">
    <w:name w:val="Footnote Text Char"/>
    <w:basedOn w:val="DefaultParagraphFont"/>
    <w:link w:val="FootnoteText"/>
    <w:uiPriority w:val="99"/>
    <w:rsid w:val="00C576C4"/>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semiHidden/>
    <w:unhideWhenUsed/>
    <w:rsid w:val="00C576C4"/>
    <w:rPr>
      <w:vertAlign w:val="superscript"/>
    </w:rPr>
  </w:style>
  <w:style w:type="character" w:styleId="CommentReference">
    <w:name w:val="annotation reference"/>
    <w:basedOn w:val="DefaultParagraphFont"/>
    <w:uiPriority w:val="99"/>
    <w:semiHidden/>
    <w:unhideWhenUsed/>
    <w:rsid w:val="00013376"/>
    <w:rPr>
      <w:sz w:val="16"/>
      <w:szCs w:val="16"/>
    </w:rPr>
  </w:style>
  <w:style w:type="paragraph" w:styleId="CommentText">
    <w:name w:val="annotation text"/>
    <w:basedOn w:val="Normal"/>
    <w:link w:val="CommentTextChar"/>
    <w:uiPriority w:val="99"/>
    <w:semiHidden/>
    <w:unhideWhenUsed/>
    <w:rsid w:val="00013376"/>
    <w:rPr>
      <w:sz w:val="20"/>
      <w:szCs w:val="20"/>
    </w:rPr>
  </w:style>
  <w:style w:type="character" w:customStyle="1" w:styleId="CommentTextChar">
    <w:name w:val="Comment Text Char"/>
    <w:basedOn w:val="DefaultParagraphFont"/>
    <w:link w:val="CommentText"/>
    <w:uiPriority w:val="99"/>
    <w:semiHidden/>
    <w:rsid w:val="00013376"/>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013376"/>
    <w:rPr>
      <w:b/>
      <w:bCs/>
    </w:rPr>
  </w:style>
  <w:style w:type="character" w:customStyle="1" w:styleId="CommentSubjectChar">
    <w:name w:val="Comment Subject Char"/>
    <w:basedOn w:val="CommentTextChar"/>
    <w:link w:val="CommentSubject"/>
    <w:uiPriority w:val="99"/>
    <w:semiHidden/>
    <w:rsid w:val="00013376"/>
    <w:rPr>
      <w:rFonts w:ascii="Times New Roman" w:eastAsia="Arial Unicode MS" w:hAnsi="Times New Roman" w:cs="Times New Roman"/>
      <w:b/>
      <w:bCs/>
      <w:sz w:val="20"/>
      <w:szCs w:val="20"/>
      <w:bdr w:val="nil"/>
    </w:rPr>
  </w:style>
  <w:style w:type="paragraph" w:styleId="ListParagraph">
    <w:name w:val="List Paragraph"/>
    <w:basedOn w:val="Normal"/>
    <w:uiPriority w:val="34"/>
    <w:qFormat/>
    <w:rsid w:val="0062439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260337">
      <w:bodyDiv w:val="1"/>
      <w:marLeft w:val="0"/>
      <w:marRight w:val="0"/>
      <w:marTop w:val="0"/>
      <w:marBottom w:val="0"/>
      <w:divBdr>
        <w:top w:val="none" w:sz="0" w:space="0" w:color="auto"/>
        <w:left w:val="none" w:sz="0" w:space="0" w:color="auto"/>
        <w:bottom w:val="none" w:sz="0" w:space="0" w:color="auto"/>
        <w:right w:val="none" w:sz="0" w:space="0" w:color="auto"/>
      </w:divBdr>
      <w:divsChild>
        <w:div w:id="1498763750">
          <w:marLeft w:val="0"/>
          <w:marRight w:val="0"/>
          <w:marTop w:val="0"/>
          <w:marBottom w:val="0"/>
          <w:divBdr>
            <w:top w:val="none" w:sz="0" w:space="0" w:color="auto"/>
            <w:left w:val="none" w:sz="0" w:space="0" w:color="auto"/>
            <w:bottom w:val="none" w:sz="0" w:space="0" w:color="auto"/>
            <w:right w:val="none" w:sz="0" w:space="0" w:color="auto"/>
          </w:divBdr>
        </w:div>
      </w:divsChild>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9266494">
      <w:bodyDiv w:val="1"/>
      <w:marLeft w:val="0"/>
      <w:marRight w:val="0"/>
      <w:marTop w:val="0"/>
      <w:marBottom w:val="0"/>
      <w:divBdr>
        <w:top w:val="none" w:sz="0" w:space="0" w:color="auto"/>
        <w:left w:val="none" w:sz="0" w:space="0" w:color="auto"/>
        <w:bottom w:val="none" w:sz="0" w:space="0" w:color="auto"/>
        <w:right w:val="none" w:sz="0" w:space="0" w:color="auto"/>
      </w:divBdr>
    </w:div>
    <w:div w:id="363024735">
      <w:bodyDiv w:val="1"/>
      <w:marLeft w:val="0"/>
      <w:marRight w:val="0"/>
      <w:marTop w:val="0"/>
      <w:marBottom w:val="0"/>
      <w:divBdr>
        <w:top w:val="none" w:sz="0" w:space="0" w:color="auto"/>
        <w:left w:val="none" w:sz="0" w:space="0" w:color="auto"/>
        <w:bottom w:val="none" w:sz="0" w:space="0" w:color="auto"/>
        <w:right w:val="none" w:sz="0" w:space="0" w:color="auto"/>
      </w:divBdr>
      <w:divsChild>
        <w:div w:id="129248750">
          <w:marLeft w:val="0"/>
          <w:marRight w:val="0"/>
          <w:marTop w:val="0"/>
          <w:marBottom w:val="0"/>
          <w:divBdr>
            <w:top w:val="none" w:sz="0" w:space="0" w:color="auto"/>
            <w:left w:val="none" w:sz="0" w:space="0" w:color="auto"/>
            <w:bottom w:val="none" w:sz="0" w:space="0" w:color="auto"/>
            <w:right w:val="none" w:sz="0" w:space="0" w:color="auto"/>
          </w:divBdr>
        </w:div>
      </w:divsChild>
    </w:div>
    <w:div w:id="847867285">
      <w:bodyDiv w:val="1"/>
      <w:marLeft w:val="0"/>
      <w:marRight w:val="0"/>
      <w:marTop w:val="0"/>
      <w:marBottom w:val="0"/>
      <w:divBdr>
        <w:top w:val="none" w:sz="0" w:space="0" w:color="auto"/>
        <w:left w:val="none" w:sz="0" w:space="0" w:color="auto"/>
        <w:bottom w:val="none" w:sz="0" w:space="0" w:color="auto"/>
        <w:right w:val="none" w:sz="0" w:space="0" w:color="auto"/>
      </w:divBdr>
      <w:divsChild>
        <w:div w:id="292906729">
          <w:marLeft w:val="0"/>
          <w:marRight w:val="0"/>
          <w:marTop w:val="0"/>
          <w:marBottom w:val="0"/>
          <w:divBdr>
            <w:top w:val="none" w:sz="0" w:space="0" w:color="auto"/>
            <w:left w:val="none" w:sz="0" w:space="0" w:color="auto"/>
            <w:bottom w:val="none" w:sz="0" w:space="0" w:color="auto"/>
            <w:right w:val="none" w:sz="0" w:space="0" w:color="auto"/>
          </w:divBdr>
        </w:div>
      </w:divsChild>
    </w:div>
    <w:div w:id="144149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state.nm.u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ec.state.nm.us/transparency/" TargetMode="External"/><Relationship Id="rId4" Type="http://schemas.openxmlformats.org/officeDocument/2006/relationships/settings" Target="settings.xml"/><Relationship Id="rId9" Type="http://schemas.openxmlformats.org/officeDocument/2006/relationships/hyperlink" Target="http://www.sec.state.nm.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AAEE2-351E-4AF8-8CA3-25113DA0A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6</Pages>
  <Words>1916</Words>
  <Characters>10926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Farris, Jeremy, NMSEC</dc:creator>
  <cp:keywords/>
  <dc:description/>
  <cp:lastModifiedBy>J. Walker Boyd</cp:lastModifiedBy>
  <cp:revision>255</cp:revision>
  <cp:lastPrinted>2020-07-24T21:56:00Z</cp:lastPrinted>
  <dcterms:created xsi:type="dcterms:W3CDTF">2020-06-09T15:34:00Z</dcterms:created>
  <dcterms:modified xsi:type="dcterms:W3CDTF">2020-10-09T14:15:00Z</dcterms:modified>
</cp:coreProperties>
</file>